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楷体_GB2312" w:cs="楷体_GB2312"/>
          <w:sz w:val="32"/>
          <w:szCs w:val="32"/>
          <w:lang w:val="en-US"/>
        </w:rPr>
      </w:pPr>
      <w:r>
        <w:rPr>
          <w:rFonts w:hint="eastAsia" w:ascii="Times New Roman" w:hAnsi="Times New Roman" w:eastAsia="方正小标宋简体" w:cs="方正小标宋简体"/>
          <w:kern w:val="2"/>
          <w:sz w:val="44"/>
          <w:szCs w:val="44"/>
          <w:lang w:val="en-US" w:eastAsia="zh-CN" w:bidi="ar"/>
        </w:rPr>
        <w:t>四川省工业项目建设用地控制指标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楷体_GB2312" w:cs="楷体_GB2312"/>
          <w:sz w:val="32"/>
          <w:szCs w:val="32"/>
          <w:lang w:val="en-US"/>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为认真贯彻落实节约资源的基本国策，深入实施全面节约战略，深化“亩均论英雄”改革，规范工业项目建设用地管理，促进土地资源节约集约和高效利用，结合《工业项目建设用地控制指标》</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自然资发</w:t>
      </w:r>
      <w:r>
        <w:rPr>
          <w:rFonts w:hint="eastAsia" w:ascii="Times New Roman" w:hAnsi="Times New Roman" w:eastAsia="仿宋_GB2312" w:cs="仿宋_GB2312"/>
          <w:sz w:val="32"/>
          <w:szCs w:val="32"/>
          <w:lang w:bidi="ar"/>
        </w:rPr>
        <w:t>〔20</w:t>
      </w:r>
      <w:r>
        <w:rPr>
          <w:rFonts w:hint="eastAsia" w:ascii="Times New Roman" w:hAnsi="Times New Roman" w:eastAsia="仿宋_GB2312" w:cs="仿宋_GB2312"/>
          <w:sz w:val="32"/>
          <w:szCs w:val="32"/>
          <w:lang w:val="en-US" w:eastAsia="zh-CN" w:bidi="ar"/>
        </w:rPr>
        <w:t>23</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val="en-US" w:eastAsia="zh-CN" w:bidi="ar"/>
        </w:rPr>
        <w:t>72</w:t>
      </w:r>
      <w:r>
        <w:rPr>
          <w:rFonts w:hint="eastAsia" w:ascii="Times New Roman" w:hAnsi="Times New Roman" w:eastAsia="仿宋_GB2312" w:cs="仿宋_GB2312"/>
          <w:sz w:val="32"/>
          <w:szCs w:val="32"/>
          <w:lang w:bidi="ar"/>
        </w:rPr>
        <w:t>号</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要求</w:t>
      </w:r>
      <w:r>
        <w:rPr>
          <w:rFonts w:hint="eastAsia" w:ascii="Times New Roman" w:hAnsi="Times New Roman" w:eastAsia="仿宋_GB2312" w:cs="仿宋_GB2312"/>
          <w:kern w:val="2"/>
          <w:sz w:val="32"/>
          <w:szCs w:val="32"/>
          <w:lang w:val="en-US" w:eastAsia="zh-CN" w:bidi="ar"/>
        </w:rPr>
        <w:t>，自然资源厅研究制订了《四川省工业项目建设用地控制指标》（以下简称《控制指标》）。</w:t>
      </w:r>
    </w:p>
    <w:p>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一、《控制指标》由规范性指标和推荐性指标组成。规范性指标包括容积率、建筑系数、行政办公及生活服务设施用地所占比重、固定资产投资强度等4项，由自然资源厅确定控制值。推荐性指标包括土地产出率、土地税收等2项，各地可根据实际，结合工业用地“标准地”改革要求，选择全部或部分推荐性指标制定控制值后在本地予以实施。各市（州）</w:t>
      </w:r>
      <w:r>
        <w:rPr>
          <w:rFonts w:hint="eastAsia" w:ascii="Times New Roman" w:hAnsi="Times New Roman" w:eastAsia="仿宋_GB2312" w:cs="仿宋_GB2312"/>
          <w:sz w:val="32"/>
          <w:szCs w:val="32"/>
          <w:lang w:bidi="ar"/>
        </w:rPr>
        <w:t>自然资源主管部门以及有条件的</w:t>
      </w:r>
      <w:r>
        <w:rPr>
          <w:rFonts w:hint="eastAsia" w:ascii="Times New Roman" w:hAnsi="Times New Roman" w:eastAsia="仿宋_GB2312" w:cs="仿宋_GB2312"/>
          <w:sz w:val="32"/>
          <w:szCs w:val="32"/>
          <w:lang w:eastAsia="zh-CN" w:bidi="ar"/>
        </w:rPr>
        <w:t>县</w:t>
      </w:r>
      <w:r>
        <w:rPr>
          <w:rFonts w:hint="eastAsia" w:ascii="Times New Roman" w:hAnsi="Times New Roman" w:eastAsia="仿宋_GB2312" w:cs="仿宋_GB2312"/>
          <w:sz w:val="32"/>
          <w:szCs w:val="32"/>
          <w:lang w:bidi="ar"/>
        </w:rPr>
        <w:t>级自然资源主管部门，要会同同级产业等相关部门，在详细规划管控下，适应新产业、新业态和新生活方式需要，按照“多规合一”、节约集约和安全韧性的原则，因地制宜制定地方性规划标准和工业项目建设用地控制指标等土地使用标准，并纳入规划技术管理规定，作为详细规划编制审批和规划许可核发的审查依据。</w:t>
      </w:r>
      <w:r>
        <w:rPr>
          <w:rFonts w:hint="eastAsia" w:ascii="Times New Roman" w:hAnsi="Times New Roman" w:eastAsia="仿宋_GB2312" w:cs="仿宋_GB2312"/>
          <w:kern w:val="2"/>
          <w:sz w:val="32"/>
          <w:szCs w:val="32"/>
          <w:lang w:val="en-US" w:eastAsia="zh-CN" w:bidi="ar"/>
        </w:rPr>
        <w:t>鼓励各地探索区分鼓励类、限制类、淘汰类工业项目制定建设用地控制指标，以及分区域制定不同的指标控制值，对辖区内开发区、工业园区、工业项目</w:t>
      </w:r>
      <w:r>
        <w:rPr>
          <w:rFonts w:hint="eastAsia" w:ascii="Times New Roman" w:hAnsi="Times New Roman" w:eastAsia="仿宋_GB2312" w:cs="仿宋_GB2312"/>
          <w:sz w:val="32"/>
          <w:szCs w:val="32"/>
          <w:lang w:bidi="ar"/>
        </w:rPr>
        <w:t>集聚区</w:t>
      </w:r>
      <w:r>
        <w:rPr>
          <w:rFonts w:hint="eastAsia" w:ascii="Times New Roman" w:hAnsi="Times New Roman" w:eastAsia="仿宋_GB2312" w:cs="仿宋_GB2312"/>
          <w:kern w:val="2"/>
          <w:sz w:val="32"/>
          <w:szCs w:val="32"/>
          <w:lang w:val="en-US" w:eastAsia="zh-CN" w:bidi="ar"/>
        </w:rPr>
        <w:t>，可适当提高指标控制值。各地自行建立的指标体系应及时报自然资源厅备案，其中，对于选择土地税收制定控制值的，应将选用起始时间、控制值等情况同步报四川省税务局备案。各地制定的</w:t>
      </w:r>
      <w:r>
        <w:rPr>
          <w:rFonts w:hint="eastAsia" w:ascii="Times New Roman" w:hAnsi="Times New Roman" w:eastAsia="仿宋_GB2312" w:cs="仿宋_GB2312"/>
          <w:sz w:val="32"/>
          <w:szCs w:val="32"/>
          <w:lang w:bidi="ar"/>
        </w:rPr>
        <w:t>地方</w:t>
      </w:r>
      <w:r>
        <w:rPr>
          <w:rFonts w:hint="eastAsia" w:ascii="Times New Roman" w:hAnsi="Times New Roman" w:eastAsia="仿宋_GB2312" w:cs="仿宋_GB2312"/>
          <w:sz w:val="32"/>
          <w:szCs w:val="32"/>
          <w:lang w:val="en-US" w:eastAsia="zh-CN" w:bidi="ar"/>
        </w:rPr>
        <w:t>指标</w:t>
      </w:r>
      <w:r>
        <w:rPr>
          <w:rFonts w:hint="eastAsia" w:ascii="Times New Roman" w:hAnsi="Times New Roman" w:eastAsia="仿宋_GB2312" w:cs="仿宋_GB2312"/>
          <w:kern w:val="2"/>
          <w:sz w:val="32"/>
          <w:szCs w:val="32"/>
          <w:lang w:val="en-US" w:eastAsia="zh-CN" w:bidi="ar"/>
        </w:rPr>
        <w:t>中，容积率、建筑系数、固定资产投资强度的控制值原则上不低于《控制指标》；行政办公及生活服务设施用地所占比重的控制值原则上不高于《控制指标》；推荐性指标的控制值要结合本地区城乡经济发展水平，兼顾大中小企业投入产出状况。各地已出台地方工业项目建设用地控制指标（或标准地供应指标体系）且达到《控制指标》要求的，可适时修订，暂未制定地方工业项目建设用地控制指标的，要先按照《控制指标》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二、《控制指标》是核定工业项目用地规模、评价工业用地利用效率的重要标准，新建、改建、扩建工业项目均要严格执行《控制指标》及相关工程项目建设用地指标。</w:t>
      </w:r>
      <w:r>
        <w:rPr>
          <w:rFonts w:hint="eastAsia" w:ascii="Times New Roman" w:hAnsi="Times New Roman" w:eastAsia="仿宋_GB2312" w:cs="仿宋_GB2312"/>
          <w:sz w:val="32"/>
          <w:szCs w:val="32"/>
          <w:lang w:bidi="ar"/>
        </w:rPr>
        <w:t>《控制指标》适用于《国民经济行业分类》（GB/T 4754）的制造业，以及与《国民经济行业分类》（GB/T 4754）的制造业对应的战略性新兴产业、先进制造业。《控制指标》覆盖城乡，国有土地上的工业项目建设要严格执行，集体土地上的工业项目建设可参照执行。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三、各市（州）、县（市、区）自然资源主管部门</w:t>
      </w:r>
      <w:r>
        <w:rPr>
          <w:rFonts w:hint="eastAsia" w:ascii="Times New Roman" w:hAnsi="Times New Roman" w:eastAsia="仿宋_GB2312" w:cs="仿宋_GB2312"/>
          <w:sz w:val="32"/>
          <w:szCs w:val="32"/>
          <w:lang w:bidi="ar"/>
        </w:rPr>
        <w:t>要严格依据《控制指标》审核工业项目用地，对不符合《控制指标》要求的工业项目，按规定核减项目用地面积或不予供地。因安全生产、地形地貌、工艺技术等有特殊要求确需突破《控制指标》的工业项目，</w:t>
      </w:r>
      <w:r>
        <w:rPr>
          <w:rFonts w:hint="eastAsia" w:ascii="Times New Roman" w:hAnsi="Times New Roman" w:eastAsia="仿宋_GB2312" w:cs="仿宋_GB2312"/>
          <w:sz w:val="32"/>
          <w:szCs w:val="32"/>
          <w:lang w:val="en-US" w:eastAsia="zh-CN" w:bidi="ar"/>
        </w:rPr>
        <w:t>由</w:t>
      </w:r>
      <w:r>
        <w:rPr>
          <w:rFonts w:hint="eastAsia" w:ascii="Times New Roman" w:hAnsi="Times New Roman" w:eastAsia="仿宋_GB2312" w:cs="仿宋_GB2312"/>
          <w:kern w:val="2"/>
          <w:sz w:val="32"/>
          <w:szCs w:val="32"/>
          <w:lang w:val="en-US" w:eastAsia="zh-CN" w:bidi="ar"/>
        </w:rPr>
        <w:t>市（州）、县（市、区）自然资源主管部门</w:t>
      </w:r>
      <w:r>
        <w:rPr>
          <w:rFonts w:hint="eastAsia" w:ascii="Times New Roman" w:hAnsi="Times New Roman" w:eastAsia="仿宋_GB2312" w:cs="仿宋_GB2312"/>
          <w:sz w:val="32"/>
          <w:szCs w:val="32"/>
          <w:lang w:bidi="ar"/>
        </w:rPr>
        <w:t>根据建设项目节地评价相关要求开展建设项目节地评价论证。《控制指标》发布前已</w:t>
      </w:r>
      <w:r>
        <w:rPr>
          <w:rFonts w:hint="eastAsia" w:ascii="Times New Roman" w:hAnsi="Times New Roman" w:eastAsia="仿宋_GB2312" w:cs="仿宋_GB2312"/>
          <w:sz w:val="32"/>
          <w:szCs w:val="32"/>
          <w:lang w:val="en-US" w:eastAsia="zh-CN" w:bidi="ar"/>
        </w:rPr>
        <w:t>受理</w:t>
      </w:r>
      <w:r>
        <w:rPr>
          <w:rFonts w:hint="eastAsia" w:ascii="Times New Roman" w:hAnsi="Times New Roman" w:eastAsia="仿宋_GB2312" w:cs="仿宋_GB2312"/>
          <w:sz w:val="32"/>
          <w:szCs w:val="32"/>
          <w:lang w:bidi="ar"/>
        </w:rPr>
        <w:t>的工业项目，继续按照</w:t>
      </w:r>
      <w:r>
        <w:rPr>
          <w:rFonts w:hint="eastAsia" w:ascii="Times New Roman" w:hAnsi="Times New Roman" w:eastAsia="仿宋_GB2312" w:cs="仿宋_GB2312"/>
          <w:sz w:val="32"/>
          <w:szCs w:val="32"/>
          <w:lang w:val="en-US" w:eastAsia="zh-CN" w:bidi="ar"/>
        </w:rPr>
        <w:t>受理</w:t>
      </w:r>
      <w:r>
        <w:rPr>
          <w:rFonts w:hint="eastAsia" w:ascii="Times New Roman" w:hAnsi="Times New Roman" w:eastAsia="仿宋_GB2312" w:cs="仿宋_GB2312"/>
          <w:sz w:val="32"/>
          <w:szCs w:val="32"/>
          <w:lang w:bidi="ar"/>
        </w:rPr>
        <w:t>时的要求执行。各地要结合实际，探索通过增加资金和技术投入等方式提高空间利用效率，总结推广节地技术和节地模式，提升工业用地节约集约利用水平。</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四、各市（州）、县（市、区）自然资源主管部门</w:t>
      </w:r>
      <w:r>
        <w:rPr>
          <w:rFonts w:hint="eastAsia" w:ascii="Times New Roman" w:hAnsi="Times New Roman" w:eastAsia="仿宋_GB2312" w:cs="仿宋_GB2312"/>
          <w:sz w:val="32"/>
          <w:szCs w:val="32"/>
          <w:lang w:bidi="ar"/>
        </w:rPr>
        <w:t>要会同产业等相关部门建立《控制指标》联合实施和监管机制，加强工业用地全</w:t>
      </w:r>
      <w:r>
        <w:rPr>
          <w:rFonts w:hint="eastAsia" w:ascii="Times New Roman" w:hAnsi="Times New Roman" w:eastAsia="仿宋_GB2312" w:cs="仿宋_GB2312"/>
          <w:sz w:val="32"/>
          <w:szCs w:val="32"/>
          <w:lang w:val="en-US" w:eastAsia="zh-CN" w:bidi="ar"/>
        </w:rPr>
        <w:t>生命</w:t>
      </w:r>
      <w:r>
        <w:rPr>
          <w:rFonts w:hint="eastAsia" w:ascii="Times New Roman" w:hAnsi="Times New Roman" w:eastAsia="仿宋_GB2312" w:cs="仿宋_GB2312"/>
          <w:sz w:val="32"/>
          <w:szCs w:val="32"/>
          <w:lang w:bidi="ar"/>
        </w:rPr>
        <w:t>周期管理，推动工业用地提质增效。各地在工业用地管理中，要将《控制指标》作为编制项目用地有关法律文书、项目初步设计文件和可行性研究报告等的重要依据，将《控制指标》列入建设用地供应方案、出让公告、用地监管合同等，并约定相关违约责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工业项目竣工、投产、达产验收时，未达到</w:t>
      </w:r>
      <w:r>
        <w:rPr>
          <w:rFonts w:hint="eastAsia" w:ascii="Times New Roman" w:hAnsi="Times New Roman" w:eastAsia="仿宋_GB2312" w:cs="仿宋_GB2312"/>
          <w:sz w:val="32"/>
          <w:szCs w:val="32"/>
          <w:lang w:bidi="ar"/>
        </w:rPr>
        <w:t>《控制指标》</w:t>
      </w:r>
      <w:r>
        <w:rPr>
          <w:rFonts w:hint="eastAsia" w:ascii="Times New Roman" w:hAnsi="Times New Roman" w:eastAsia="仿宋_GB2312" w:cs="仿宋_GB2312"/>
          <w:sz w:val="32"/>
          <w:szCs w:val="32"/>
          <w:lang w:val="en-US" w:eastAsia="zh-CN" w:bidi="ar"/>
        </w:rPr>
        <w:t>要求的，</w:t>
      </w:r>
      <w:r>
        <w:rPr>
          <w:rFonts w:hint="eastAsia" w:ascii="Times New Roman" w:hAnsi="Times New Roman" w:eastAsia="仿宋_GB2312" w:cs="仿宋_GB2312"/>
          <w:kern w:val="2"/>
          <w:sz w:val="32"/>
          <w:szCs w:val="32"/>
          <w:lang w:val="en-US" w:eastAsia="zh-CN" w:bidi="ar"/>
        </w:rPr>
        <w:t>市（州）、县（市、区）</w:t>
      </w:r>
      <w:r>
        <w:rPr>
          <w:rFonts w:hint="eastAsia" w:ascii="Times New Roman" w:hAnsi="Times New Roman" w:eastAsia="仿宋_GB2312" w:cs="仿宋_GB2312"/>
          <w:sz w:val="32"/>
          <w:szCs w:val="32"/>
          <w:lang w:val="en-US" w:eastAsia="zh-CN" w:bidi="ar"/>
        </w:rPr>
        <w:t>相关主管部门要根据</w:t>
      </w:r>
      <w:r>
        <w:rPr>
          <w:rFonts w:hint="eastAsia" w:ascii="Times New Roman" w:hAnsi="Times New Roman" w:eastAsia="仿宋_GB2312" w:cs="仿宋_GB2312"/>
          <w:sz w:val="32"/>
          <w:szCs w:val="32"/>
          <w:lang w:eastAsia="zh-CN" w:bidi="ar"/>
        </w:rPr>
        <w:t>各自</w:t>
      </w:r>
      <w:r>
        <w:rPr>
          <w:rFonts w:hint="eastAsia" w:ascii="Times New Roman" w:hAnsi="Times New Roman" w:eastAsia="仿宋_GB2312" w:cs="仿宋_GB2312"/>
          <w:sz w:val="32"/>
          <w:szCs w:val="32"/>
          <w:lang w:bidi="ar"/>
        </w:rPr>
        <w:t>职责</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val="en-US" w:eastAsia="zh-CN" w:bidi="ar"/>
        </w:rPr>
        <w:t>依据有关合同（协议）</w:t>
      </w:r>
      <w:r>
        <w:rPr>
          <w:rFonts w:hint="eastAsia" w:ascii="Times New Roman" w:hAnsi="Times New Roman" w:eastAsia="仿宋_GB2312" w:cs="仿宋_GB2312"/>
          <w:sz w:val="32"/>
          <w:szCs w:val="32"/>
          <w:lang w:bidi="ar"/>
        </w:rPr>
        <w:t>约定</w:t>
      </w:r>
      <w:r>
        <w:rPr>
          <w:rFonts w:hint="eastAsia" w:ascii="Times New Roman" w:hAnsi="Times New Roman" w:eastAsia="仿宋_GB2312" w:cs="仿宋_GB2312"/>
          <w:sz w:val="32"/>
          <w:szCs w:val="32"/>
          <w:lang w:val="en-US" w:eastAsia="zh-CN" w:bidi="ar"/>
        </w:rPr>
        <w:t>事项</w:t>
      </w:r>
      <w:r>
        <w:rPr>
          <w:rFonts w:hint="eastAsia" w:ascii="Times New Roman" w:hAnsi="Times New Roman" w:eastAsia="仿宋_GB2312" w:cs="仿宋_GB2312"/>
          <w:sz w:val="32"/>
          <w:szCs w:val="32"/>
          <w:lang w:bidi="ar"/>
        </w:rPr>
        <w:t>，严格追究违约责任，落实处罚整改措施。</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kern w:val="2"/>
          <w:sz w:val="32"/>
          <w:szCs w:val="32"/>
          <w:lang w:val="en-US" w:eastAsia="zh-CN" w:bidi="ar"/>
        </w:rPr>
        <w:t>五、</w:t>
      </w:r>
      <w:r>
        <w:rPr>
          <w:rFonts w:hint="eastAsia" w:ascii="Times New Roman" w:hAnsi="Times New Roman" w:eastAsia="仿宋_GB2312" w:cs="仿宋_GB2312"/>
          <w:sz w:val="32"/>
          <w:szCs w:val="32"/>
          <w:lang w:bidi="ar"/>
        </w:rPr>
        <w:t>工业项目建设要充分节约集约用地，科学规划，合理布局，满足安全生产的相关要求。鼓励采用先进、成熟的生产工艺和生产设备，鼓励优化工艺流程，鼓励建设多层工业厂房，鼓励合理利用地上、地下空间。</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eastAsia="zh-CN" w:bidi="ar"/>
        </w:rPr>
        <w:t>六</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val="en-US" w:eastAsia="zh-CN" w:bidi="ar"/>
        </w:rPr>
        <w:t>开发区、</w:t>
      </w:r>
      <w:r>
        <w:rPr>
          <w:rFonts w:hint="eastAsia" w:ascii="Times New Roman" w:hAnsi="Times New Roman" w:eastAsia="仿宋_GB2312" w:cs="仿宋_GB2312"/>
          <w:sz w:val="32"/>
          <w:szCs w:val="32"/>
          <w:lang w:bidi="ar"/>
        </w:rPr>
        <w:t>工业园区、工业项目集聚区要根据国土空间规划统筹安排绿化用地。工业项目用地内部一般不得安排非安全生产必需的绿地，严禁建设脱离工业生产需要的花园式工厂。</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七、自然资源厅将根据社会经济发展、技术进步、节约集约用地要求和《控制指标》实施情况，适时修订《控制指标》。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八、《控制指标》自发布之日起实施。国家现行有关规范和标准对工业项目建设用地指标有其他规定的，按照就高不就低原则执行。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lang w:val="en-US"/>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附件：1.四川省工业项目建设用地控制指标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2.控制指标应用说明</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3.《国民经济行业分类》制造业分类表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kern w:val="2"/>
          <w:sz w:val="32"/>
          <w:szCs w:val="32"/>
          <w:lang w:val="en-US" w:eastAsia="zh-CN" w:bidi="ar"/>
        </w:rPr>
        <w:t>4.</w:t>
      </w:r>
      <w:r>
        <w:rPr>
          <w:rFonts w:hint="eastAsia" w:ascii="Times New Roman" w:hAnsi="Times New Roman" w:eastAsia="仿宋_GB2312" w:cs="仿宋_GB2312"/>
          <w:sz w:val="32"/>
          <w:szCs w:val="32"/>
          <w:lang w:bidi="ar"/>
        </w:rPr>
        <w:t>战略性新兴产业与《国民经济行业分类》对照表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1612" w:firstLineChars="504"/>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sz w:val="32"/>
          <w:szCs w:val="32"/>
          <w:lang w:val="en-US" w:eastAsia="zh-CN" w:bidi="ar"/>
        </w:rPr>
        <w:t>5.</w:t>
      </w:r>
      <w:r>
        <w:rPr>
          <w:rFonts w:hint="eastAsia" w:ascii="Times New Roman" w:hAnsi="Times New Roman" w:eastAsia="仿宋_GB2312" w:cs="仿宋_GB2312"/>
          <w:sz w:val="32"/>
          <w:szCs w:val="32"/>
          <w:lang w:bidi="ar"/>
        </w:rPr>
        <w:t>先进制造业与《国民经济行业分类》对照表</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仿宋_GB2312"/>
          <w:sz w:val="32"/>
          <w:szCs w:val="32"/>
          <w:lang w:val="en-US"/>
        </w:rPr>
      </w:pP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ascii="Times New Roman" w:hAnsi="Times New Roman"/>
          <w:lang w:val="en-US"/>
        </w:rPr>
      </w:pPr>
    </w:p>
    <w:p>
      <w:pPr>
        <w:rPr>
          <w:rFonts w:hint="eastAsia" w:ascii="Times New Roman" w:hAnsi="Times New Roman" w:eastAsia="等线" w:cs="Times New Roman"/>
          <w:kern w:val="2"/>
          <w:sz w:val="21"/>
          <w:szCs w:val="22"/>
          <w:lang w:val="en-US" w:eastAsia="zh-CN" w:bidi="ar"/>
        </w:rPr>
        <w:sectPr>
          <w:footerReference r:id="rId3" w:type="default"/>
          <w:pgSz w:w="11906" w:h="16838"/>
          <w:pgMar w:top="1757" w:right="1474" w:bottom="1701" w:left="1587" w:header="851" w:footer="1417" w:gutter="0"/>
          <w:pgNumType w:fmt="decimal" w:start="1"/>
          <w:cols w:space="0" w:num="1"/>
          <w:docGrid w:type="lines" w:linePitch="435" w:charSpace="0"/>
        </w:sectPr>
      </w:pPr>
    </w:p>
    <w:p>
      <w:pPr>
        <w:pStyle w:val="3"/>
        <w:keepNext w:val="0"/>
        <w:keepLines w:val="0"/>
        <w:widowControl w:val="0"/>
        <w:suppressLineNumbers w:val="0"/>
        <w:spacing w:before="0" w:beforeAutospacing="0" w:after="0" w:afterAutospacing="0"/>
        <w:ind w:left="0" w:right="0"/>
        <w:jc w:val="left"/>
        <w:rPr>
          <w:rFonts w:hint="default"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附件1</w:t>
      </w:r>
    </w:p>
    <w:p>
      <w:pPr>
        <w:pStyle w:val="3"/>
        <w:keepNext w:val="0"/>
        <w:keepLines w:val="0"/>
        <w:widowControl w:val="0"/>
        <w:suppressLineNumbers w:val="0"/>
        <w:spacing w:before="0" w:beforeAutospacing="0" w:after="0" w:afterAutospacing="0"/>
        <w:ind w:left="0" w:right="0"/>
        <w:jc w:val="left"/>
        <w:rPr>
          <w:rFonts w:hint="eastAsia" w:ascii="Times New Roman" w:hAnsi="Times New Roman" w:eastAsia="黑体" w:cs="黑体"/>
          <w:kern w:val="2"/>
          <w:sz w:val="32"/>
          <w:szCs w:val="32"/>
          <w:lang w:val="en-US" w:eastAsia="zh-CN" w:bidi="ar"/>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ascii="Times New Roman" w:hAnsi="Times New Roman" w:eastAsia="方正小标宋简体" w:cs="Times New Roman"/>
          <w:sz w:val="44"/>
          <w:szCs w:val="44"/>
          <w:lang w:val="en-US"/>
        </w:rPr>
      </w:pPr>
      <w:r>
        <w:rPr>
          <w:rFonts w:hint="eastAsia" w:ascii="Times New Roman" w:hAnsi="Times New Roman" w:eastAsia="方正小标宋简体" w:cs="Times New Roman"/>
          <w:kern w:val="2"/>
          <w:sz w:val="44"/>
          <w:szCs w:val="44"/>
          <w:lang w:val="en-US" w:eastAsia="zh-CN" w:bidi="ar"/>
        </w:rPr>
        <w:t>四川省工业项目建设用地指标（一）</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（容积率、建筑系数、行政办公及生活服务设施用地所占比重）</w:t>
      </w:r>
    </w:p>
    <w:tbl>
      <w:tblPr>
        <w:tblStyle w:val="4"/>
        <w:tblW w:w="133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2"/>
        <w:gridCol w:w="6037"/>
        <w:gridCol w:w="1372"/>
        <w:gridCol w:w="1740"/>
        <w:gridCol w:w="2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行业代码</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行业名称</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容积率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建筑系数</w:t>
            </w:r>
          </w:p>
        </w:tc>
        <w:tc>
          <w:tcPr>
            <w:tcW w:w="2815"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黑体" w:cs="黑体"/>
                <w:b w:val="0"/>
                <w:bCs w:val="0"/>
                <w:sz w:val="24"/>
                <w:szCs w:val="24"/>
                <w:lang w:val="en-US"/>
              </w:rPr>
            </w:pPr>
            <w:r>
              <w:rPr>
                <w:rFonts w:hint="eastAsia" w:ascii="Times New Roman" w:hAnsi="Times New Roman" w:eastAsia="黑体" w:cs="黑体"/>
                <w:sz w:val="24"/>
                <w:szCs w:val="24"/>
                <w:lang w:bidi="ar"/>
              </w:rPr>
              <w:t>行政办公及生活服务设施用地所占比重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农副食品加工业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行政办公及生活服务设施用地面积≤工业项目总用地面积的7%，且建筑面积≤工业项目总建筑面积的15%。</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sz w:val="24"/>
                <w:szCs w:val="24"/>
              </w:rPr>
              <w:t>工业生产必需的研发、设计、检测、中试设施，可在行政办公及生活服务设施之外计算，且建筑面积≤工业项目总建筑面积的15%,并要符合相关工业建筑设计规范要求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14</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食品制造业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15</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酒、饮料和精制茶制造业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16</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烟草制品业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17</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18</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纺织服装、服饰业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19</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皮革、毛皮、羽毛及其制品和制鞋业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20</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木材加工和木、竹、藤、棕、草制品业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21</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家具制造业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22</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造纸和纸制品业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印刷和记录媒介复制业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24</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文教、工美、体育和娱乐用品制造业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25</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石油、煤炭及其他燃料加工业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26</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化学原料和化学制品制造业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0.6</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27</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医药制造业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28</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化学纤维制造业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29</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橡胶和塑料制品业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30</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非金属矿物制品业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31</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黑色金属冶炼和压延加工业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w:t>
            </w:r>
            <w:r>
              <w:rPr>
                <w:rFonts w:hint="eastAsia" w:ascii="Times New Roman" w:hAnsi="Times New Roman" w:cs="宋体"/>
                <w:kern w:val="2"/>
                <w:sz w:val="24"/>
                <w:szCs w:val="24"/>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32</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有色金属冶炼和压延加工业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0.</w:t>
            </w:r>
            <w:r>
              <w:rPr>
                <w:rFonts w:hint="eastAsia" w:ascii="Times New Roman" w:hAnsi="Times New Roman" w:cs="宋体"/>
                <w:kern w:val="2"/>
                <w:sz w:val="24"/>
                <w:szCs w:val="24"/>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30%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34</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通用设备制造业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35</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专用设备制造业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36</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汽车制造业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37</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铁路、船舶、航空航天和其他运输设备制造业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38</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电气机械和器材制造业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39</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计算机、通信和其他电子设备制造业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w:t>
            </w:r>
            <w:r>
              <w:rPr>
                <w:rFonts w:hint="eastAsia" w:ascii="Times New Roman" w:hAnsi="Times New Roman" w:cs="宋体"/>
                <w:kern w:val="2"/>
                <w:sz w:val="24"/>
                <w:szCs w:val="24"/>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40</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仪器仪表制造业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41</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其他制造业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42</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废弃资源综合利用业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141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43</w:t>
            </w:r>
          </w:p>
        </w:tc>
        <w:tc>
          <w:tcPr>
            <w:tcW w:w="603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金属制品、机械和设备修理业</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r>
              <w:rPr>
                <w:rFonts w:hint="eastAsia" w:ascii="Times New Roman" w:hAnsi="Times New Roman" w:cs="宋体"/>
                <w:kern w:val="2"/>
                <w:sz w:val="24"/>
                <w:szCs w:val="24"/>
                <w:lang w:val="en-US" w:eastAsia="zh-CN" w:bidi="ar"/>
              </w:rPr>
              <w:t>0.9</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auto"/>
                <w:kern w:val="0"/>
                <w:sz w:val="24"/>
                <w:szCs w:val="24"/>
                <w:u w:val="none"/>
                <w:lang w:val="en-US" w:eastAsia="zh-CN" w:bidi="ar"/>
              </w:rPr>
              <w:t>40%</w:t>
            </w:r>
          </w:p>
        </w:tc>
        <w:tc>
          <w:tcPr>
            <w:tcW w:w="2815"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Times New Roman" w:eastAsia="宋体" w:cs="宋体"/>
                <w:sz w:val="24"/>
                <w:szCs w:val="24"/>
                <w:lang w:val="en-US"/>
              </w:rPr>
            </w:pPr>
          </w:p>
        </w:tc>
      </w:tr>
    </w:tbl>
    <w:p>
      <w:pPr>
        <w:ind w:firstLine="0" w:firstLineChars="0"/>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备注：</w:t>
      </w:r>
    </w:p>
    <w:p>
      <w:pPr>
        <w:ind w:firstLine="0" w:firstLineChars="0"/>
        <w:rPr>
          <w:rFonts w:hint="eastAsia" w:ascii="Times New Roman" w:hAnsi="Times New Roman" w:eastAsia="宋体" w:cs="宋体"/>
          <w:sz w:val="24"/>
          <w:lang w:bidi="ar"/>
        </w:rPr>
      </w:pPr>
      <w:r>
        <w:rPr>
          <w:rFonts w:hint="eastAsia" w:ascii="Times New Roman" w:hAnsi="Times New Roman" w:eastAsiaTheme="minorEastAsia" w:cstheme="minorEastAsia"/>
          <w:b w:val="0"/>
          <w:bCs w:val="0"/>
          <w:kern w:val="2"/>
          <w:sz w:val="24"/>
          <w:szCs w:val="24"/>
          <w:lang w:val="en-US" w:eastAsia="zh-CN" w:bidi="ar"/>
        </w:rPr>
        <w:t>1.开发区、</w:t>
      </w:r>
      <w:r>
        <w:rPr>
          <w:rFonts w:hint="eastAsia" w:ascii="Times New Roman" w:hAnsi="Times New Roman" w:eastAsiaTheme="minorEastAsia" w:cstheme="minorEastAsia"/>
          <w:sz w:val="24"/>
          <w:lang w:bidi="ar"/>
        </w:rPr>
        <w:t>工业园区、工业项目集</w:t>
      </w:r>
      <w:r>
        <w:rPr>
          <w:rFonts w:hint="eastAsia" w:ascii="Times New Roman" w:hAnsi="Times New Roman" w:eastAsia="宋体" w:cs="宋体"/>
          <w:sz w:val="24"/>
          <w:lang w:bidi="ar"/>
        </w:rPr>
        <w:t>聚区要合理规划工业生产必需的商业服务业、科研、仓储、租赁住房、公用设施等用地</w:t>
      </w:r>
      <w:r>
        <w:rPr>
          <w:rFonts w:hint="eastAsia" w:ascii="Times New Roman" w:hAnsi="Times New Roman" w:eastAsia="宋体" w:cs="宋体"/>
          <w:sz w:val="24"/>
          <w:lang w:eastAsia="zh-CN" w:bidi="ar"/>
        </w:rPr>
        <w:t>，</w:t>
      </w:r>
      <w:r>
        <w:rPr>
          <w:rFonts w:hint="eastAsia" w:ascii="Times New Roman" w:hAnsi="Times New Roman" w:eastAsia="宋体" w:cs="宋体"/>
          <w:sz w:val="24"/>
          <w:lang w:bidi="ar"/>
        </w:rPr>
        <w:t>促进复合利用、职住平衡，发挥整体利用效益。严禁在工业项目用地范围内建造成套住宅、专家楼、宾馆、招待所和培训中心等非生产性配套设施。</w:t>
      </w:r>
    </w:p>
    <w:p>
      <w:pPr>
        <w:ind w:firstLine="0" w:firstLineChars="0"/>
        <w:rPr>
          <w:rFonts w:hint="eastAsia"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2.关于</w:t>
      </w:r>
      <w:r>
        <w:rPr>
          <w:rFonts w:hint="eastAsia" w:ascii="Times New Roman" w:hAnsi="Times New Roman" w:eastAsia="宋体" w:cs="宋体"/>
          <w:sz w:val="24"/>
          <w:lang w:bidi="ar"/>
        </w:rPr>
        <w:t>行政办公及生活服务设施用地所占比重</w:t>
      </w:r>
      <w:r>
        <w:rPr>
          <w:rFonts w:hint="eastAsia" w:ascii="Times New Roman" w:hAnsi="Times New Roman" w:eastAsia="宋体" w:cs="宋体"/>
          <w:b w:val="0"/>
          <w:bCs w:val="0"/>
          <w:kern w:val="2"/>
          <w:sz w:val="24"/>
          <w:szCs w:val="24"/>
          <w:lang w:val="en-US" w:eastAsia="zh-CN" w:bidi="ar"/>
        </w:rPr>
        <w:t>的指标标准，国家和省有关规定与本表要求不一致的，按照国家和省最新要求执行。对符合《国务院办公厅关于加快发展保障性租赁住房的意见》（国办发〔2021〕22号）要求的，可按</w:t>
      </w:r>
      <w:r>
        <w:rPr>
          <w:rFonts w:hint="eastAsia" w:ascii="Times New Roman" w:hAnsi="Times New Roman" w:eastAsia="宋体" w:cs="宋体"/>
          <w:sz w:val="24"/>
          <w:lang w:bidi="ar"/>
        </w:rPr>
        <w:t>行政办公及生活服务设施用地所占比重</w:t>
      </w:r>
      <w:r>
        <w:rPr>
          <w:rFonts w:hint="eastAsia" w:ascii="Times New Roman" w:hAnsi="Times New Roman" w:eastAsia="宋体" w:cs="宋体"/>
          <w:b w:val="0"/>
          <w:bCs w:val="0"/>
          <w:kern w:val="2"/>
          <w:sz w:val="24"/>
          <w:szCs w:val="24"/>
          <w:lang w:val="en-US" w:eastAsia="zh-CN" w:bidi="ar"/>
        </w:rPr>
        <w:t>不超过15%执行。</w:t>
      </w:r>
    </w:p>
    <w:p>
      <w:pPr>
        <w:ind w:firstLine="0" w:firstLineChars="0"/>
        <w:rPr>
          <w:rFonts w:hint="default" w:ascii="Times New Roman" w:hAnsi="Times New Roman" w:eastAsia="宋体" w:cs="宋体"/>
          <w:b w:val="0"/>
          <w:bCs w:val="0"/>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3.对符合《关于加强开发区土地节约集约利用推动高质量发展的通知》（川自然资规〔2023〕4号，以下简称4号文件）要求的项目，其容积率指标应优先按照4号文件要求执行。</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right="0" w:firstLine="1680" w:firstLineChars="600"/>
        <w:jc w:val="left"/>
        <w:textAlignment w:val="auto"/>
        <w:rPr>
          <w:rFonts w:hint="eastAsia" w:ascii="Times New Roman" w:hAnsi="Times New Roman" w:eastAsia="宋体" w:cs="宋体"/>
          <w:kern w:val="2"/>
          <w:sz w:val="28"/>
          <w:szCs w:val="28"/>
          <w:lang w:val="en-US" w:eastAsia="zh-CN" w:bidi="ar"/>
        </w:rPr>
      </w:pPr>
      <w:r>
        <w:rPr>
          <w:rFonts w:hint="eastAsia" w:ascii="Times New Roman" w:hAnsi="Times New Roman" w:cs="宋体"/>
          <w:kern w:val="2"/>
          <w:sz w:val="28"/>
          <w:szCs w:val="28"/>
          <w:lang w:val="en-US" w:eastAsia="zh-CN" w:bidi="ar"/>
        </w:rPr>
        <w:br w:type="page"/>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sz w:val="44"/>
          <w:szCs w:val="44"/>
          <w:lang w:val="en-US"/>
        </w:rPr>
      </w:pPr>
      <w:r>
        <w:rPr>
          <w:rFonts w:hint="eastAsia" w:ascii="Times New Roman" w:hAnsi="Times New Roman" w:eastAsia="方正小标宋简体" w:cs="方正小标宋简体"/>
          <w:kern w:val="2"/>
          <w:sz w:val="44"/>
          <w:szCs w:val="44"/>
          <w:lang w:val="en-US" w:eastAsia="zh-CN" w:bidi="ar"/>
        </w:rPr>
        <w:t>四川省工业项目建设用地指标（二）</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（固定资产投资强度）</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Times New Roman" w:hAnsi="Times New Roman" w:eastAsia="楷体_GB2312" w:cs="Times New Roman"/>
          <w:kern w:val="2"/>
          <w:sz w:val="34"/>
          <w:szCs w:val="34"/>
          <w:lang w:val="en-US" w:eastAsia="zh-CN" w:bidi="ar"/>
        </w:rPr>
      </w:pPr>
      <w:r>
        <w:rPr>
          <w:rFonts w:hint="eastAsia" w:ascii="Times New Roman" w:hAnsi="Times New Roman" w:eastAsia="黑体" w:cs="Times New Roman"/>
          <w:kern w:val="2"/>
          <w:sz w:val="28"/>
          <w:szCs w:val="24"/>
          <w:lang w:val="en-US" w:eastAsia="zh-CN" w:bidi="ar"/>
        </w:rPr>
        <w:t>单位：万元</w:t>
      </w:r>
      <w:r>
        <w:rPr>
          <w:rFonts w:hint="default" w:ascii="Times New Roman" w:hAnsi="Times New Roman" w:eastAsia="黑体" w:cs="Times New Roman"/>
          <w:kern w:val="2"/>
          <w:sz w:val="28"/>
          <w:szCs w:val="24"/>
          <w:lang w:val="en-US" w:eastAsia="zh-CN" w:bidi="ar"/>
        </w:rPr>
        <w:t>/</w:t>
      </w:r>
      <w:r>
        <w:rPr>
          <w:rFonts w:hint="eastAsia" w:ascii="Times New Roman" w:hAnsi="Times New Roman" w:eastAsia="黑体" w:cs="Times New Roman"/>
          <w:kern w:val="2"/>
          <w:sz w:val="28"/>
          <w:szCs w:val="24"/>
          <w:lang w:val="en-US" w:eastAsia="zh-CN" w:bidi="ar"/>
        </w:rPr>
        <w:t>公顷</w:t>
      </w:r>
    </w:p>
    <w:tbl>
      <w:tblPr>
        <w:tblStyle w:val="4"/>
        <w:tblW w:w="13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0"/>
        <w:gridCol w:w="5232"/>
        <w:gridCol w:w="1388"/>
        <w:gridCol w:w="1415"/>
        <w:gridCol w:w="1920"/>
        <w:gridCol w:w="192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5" w:hRule="atLeast"/>
          <w:tblHeader/>
        </w:trPr>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kern w:val="2"/>
                <w:sz w:val="24"/>
                <w:szCs w:val="24"/>
                <w:lang w:val="en-US" w:eastAsia="zh-CN" w:bidi="ar"/>
              </w:rPr>
            </w:pPr>
            <w:r>
              <w:rPr>
                <w:rFonts w:hint="eastAsia" w:ascii="Times New Roman" w:hAnsi="Times New Roman" w:eastAsia="黑体" w:cs="黑体"/>
                <w:b w:val="0"/>
                <w:bCs w:val="0"/>
                <w:kern w:val="2"/>
                <w:sz w:val="24"/>
                <w:szCs w:val="24"/>
                <w:lang w:val="en-US" w:eastAsia="zh-CN" w:bidi="ar"/>
              </w:rPr>
              <w:t>行</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kern w:val="2"/>
                <w:sz w:val="24"/>
                <w:szCs w:val="24"/>
                <w:lang w:val="en-US" w:eastAsia="zh-CN" w:bidi="ar"/>
              </w:rPr>
            </w:pPr>
            <w:r>
              <w:rPr>
                <w:rFonts w:hint="eastAsia" w:ascii="Times New Roman" w:hAnsi="Times New Roman" w:eastAsia="黑体" w:cs="黑体"/>
                <w:b w:val="0"/>
                <w:bCs w:val="0"/>
                <w:kern w:val="2"/>
                <w:sz w:val="24"/>
                <w:szCs w:val="24"/>
                <w:lang w:val="en-US" w:eastAsia="zh-CN" w:bidi="ar"/>
              </w:rPr>
              <w:t>业</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kern w:val="2"/>
                <w:sz w:val="24"/>
                <w:szCs w:val="24"/>
                <w:lang w:val="en-US" w:eastAsia="zh-CN" w:bidi="ar"/>
              </w:rPr>
            </w:pPr>
            <w:r>
              <w:rPr>
                <w:rFonts w:hint="eastAsia" w:ascii="Times New Roman" w:hAnsi="Times New Roman" w:eastAsia="黑体" w:cs="黑体"/>
                <w:b w:val="0"/>
                <w:bCs w:val="0"/>
                <w:kern w:val="2"/>
                <w:sz w:val="24"/>
                <w:szCs w:val="24"/>
                <w:lang w:val="en-US" w:eastAsia="zh-CN" w:bidi="ar"/>
              </w:rPr>
              <w:t>代</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码</w:t>
            </w:r>
          </w:p>
        </w:tc>
        <w:tc>
          <w:tcPr>
            <w:tcW w:w="523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行业名称</w:t>
            </w:r>
          </w:p>
        </w:tc>
        <w:tc>
          <w:tcPr>
            <w:tcW w:w="7903"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固定资产投资强度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5" w:hRule="atLeast"/>
          <w:tblHeader/>
        </w:trPr>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黑体" w:cs="黑体"/>
                <w:b w:val="0"/>
                <w:bCs w:val="0"/>
                <w:sz w:val="24"/>
                <w:szCs w:val="24"/>
              </w:rPr>
            </w:pPr>
          </w:p>
        </w:tc>
        <w:tc>
          <w:tcPr>
            <w:tcW w:w="523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eastAsia" w:ascii="Times New Roman" w:hAnsi="Times New Roman" w:eastAsia="黑体" w:cs="黑体"/>
                <w:b w:val="0"/>
                <w:bCs w:val="0"/>
                <w:sz w:val="24"/>
                <w:szCs w:val="24"/>
              </w:rPr>
            </w:pP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第一、二、三、四等</w:t>
            </w:r>
          </w:p>
        </w:tc>
        <w:tc>
          <w:tcPr>
            <w:tcW w:w="1415" w:type="dxa"/>
            <w:tcBorders>
              <w:top w:val="single" w:color="000000" w:sz="4" w:space="0"/>
              <w:left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第九、十等</w:t>
            </w:r>
          </w:p>
        </w:tc>
        <w:tc>
          <w:tcPr>
            <w:tcW w:w="1920" w:type="dxa"/>
            <w:tcBorders>
              <w:top w:val="single" w:color="000000" w:sz="4" w:space="0"/>
              <w:left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第十一、十二等</w:t>
            </w:r>
          </w:p>
        </w:tc>
        <w:tc>
          <w:tcPr>
            <w:tcW w:w="1920" w:type="dxa"/>
            <w:tcBorders>
              <w:top w:val="single" w:color="000000" w:sz="4" w:space="0"/>
              <w:left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第十三、十四等</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黑体" w:cs="黑体"/>
                <w:b w:val="0"/>
                <w:bCs w:val="0"/>
                <w:sz w:val="24"/>
                <w:szCs w:val="24"/>
                <w:lang w:val="en-US"/>
              </w:rPr>
            </w:pPr>
            <w:r>
              <w:rPr>
                <w:rFonts w:hint="eastAsia" w:ascii="Times New Roman" w:hAnsi="Times New Roman" w:eastAsia="黑体" w:cs="黑体"/>
                <w:b w:val="0"/>
                <w:bCs w:val="0"/>
                <w:kern w:val="2"/>
                <w:sz w:val="24"/>
                <w:szCs w:val="24"/>
                <w:lang w:val="en-US" w:eastAsia="zh-CN" w:bidi="ar"/>
              </w:rPr>
              <w:t>第十五等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农副食品加工业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747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14</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食品制造业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787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15</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酒、饮料和精制茶制造业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747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16</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烟草制品业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647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17</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823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18</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纺织服装、服饰业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702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19</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皮革、毛皮、羽毛及其制品和制鞋业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682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20</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木材加工和木、竹、藤、棕、草制品业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1217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864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632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21</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家具制造业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641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22</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造纸和纸制品业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787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印刷和记录媒介复制业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858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24</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文教、工美、体育和娱乐用品制造业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702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25</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石油、煤炭及其他燃料加工业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901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26</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化学原料和化学制品制造业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819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27</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医药制造业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1300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28</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化学纤维制造业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1296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29</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橡胶和塑料制品业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2142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1754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1250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30</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非金属矿物制品业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2000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1217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864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813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31</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黑色金属冶炼和压延加工业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1171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32</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有色金属冶炼和压延加工业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942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3400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2459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2101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1080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34</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通用设备制造业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1129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35</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专用设备制造业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1234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36</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汽车制造业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1234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37</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kern w:val="2"/>
                <w:sz w:val="24"/>
                <w:szCs w:val="24"/>
                <w:lang w:val="en-US" w:eastAsia="zh-CN" w:bidi="ar"/>
              </w:rPr>
              <w:t>铁路、船舶、航空航天和其他运输设备</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2046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38</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电气机械和器材制造业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4440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3635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2950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1607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39</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计算机、通信和其他电子设备制造业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5590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3673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3540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1415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40</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仪器仪表制造业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3890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3357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2872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1870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41</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其他制造业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42</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废弃资源综合利用业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43</w:t>
            </w:r>
          </w:p>
        </w:tc>
        <w:tc>
          <w:tcPr>
            <w:tcW w:w="523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宋体" w:cs="宋体"/>
                <w:sz w:val="24"/>
                <w:szCs w:val="24"/>
                <w:lang w:val="en-US"/>
              </w:rPr>
            </w:pPr>
            <w:r>
              <w:rPr>
                <w:rFonts w:hint="eastAsia" w:ascii="Times New Roman" w:hAnsi="Times New Roman" w:eastAsia="宋体" w:cs="宋体"/>
                <w:kern w:val="2"/>
                <w:sz w:val="24"/>
                <w:szCs w:val="24"/>
                <w:lang w:val="en-US" w:eastAsia="zh-CN" w:bidi="ar"/>
              </w:rPr>
              <w:t>金属制品、机械和设备修理业</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Theme="minorEastAsia" w:cstheme="minorEastAsia"/>
                <w:sz w:val="24"/>
                <w:szCs w:val="24"/>
                <w:lang w:val="en-US"/>
              </w:rPr>
            </w:pPr>
            <w:r>
              <w:rPr>
                <w:rFonts w:hint="eastAsia" w:ascii="Times New Roman" w:hAnsi="Times New Roman" w:eastAsiaTheme="minorEastAsia" w:cstheme="minorEastAsia"/>
                <w:i w:val="0"/>
                <w:iCs w:val="0"/>
                <w:color w:val="auto"/>
                <w:kern w:val="0"/>
                <w:sz w:val="24"/>
                <w:szCs w:val="24"/>
                <w:u w:val="none"/>
                <w:lang w:val="en-US" w:eastAsia="zh-CN" w:bidi="ar"/>
              </w:rPr>
              <w:t>2670</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1696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1204 </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613 </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sz w:val="24"/>
                <w:szCs w:val="24"/>
                <w:lang w:val="en-US"/>
              </w:rPr>
            </w:pPr>
            <w:r>
              <w:rPr>
                <w:rFonts w:hint="eastAsia" w:ascii="Times New Roman" w:hAnsi="Times New Roman" w:eastAsia="宋体" w:cs="宋体"/>
                <w:i w:val="0"/>
                <w:iCs w:val="0"/>
                <w:color w:val="000000"/>
                <w:kern w:val="0"/>
                <w:sz w:val="24"/>
                <w:szCs w:val="24"/>
                <w:u w:val="none"/>
                <w:lang w:val="en-US" w:eastAsia="zh-CN" w:bidi="ar"/>
              </w:rPr>
              <w:t xml:space="preserve">500 </w:t>
            </w:r>
          </w:p>
        </w:tc>
      </w:tr>
    </w:tbl>
    <w:p>
      <w:pPr>
        <w:rPr>
          <w:rFonts w:hint="default" w:ascii="Times New Roman" w:hAnsi="Times New Roman" w:eastAsia="宋体" w:cs="Times New Roman"/>
          <w:b w:val="0"/>
          <w:bCs w:val="0"/>
          <w:kern w:val="2"/>
          <w:sz w:val="24"/>
          <w:szCs w:val="24"/>
          <w:lang w:val="en-US" w:eastAsia="zh-CN" w:bidi="ar"/>
        </w:rPr>
      </w:pPr>
      <w:r>
        <w:rPr>
          <w:rFonts w:hint="default" w:ascii="Times New Roman" w:hAnsi="Times New Roman" w:eastAsia="宋体" w:cs="Times New Roman"/>
          <w:b w:val="0"/>
          <w:bCs w:val="0"/>
          <w:kern w:val="2"/>
          <w:sz w:val="24"/>
          <w:szCs w:val="24"/>
          <w:lang w:val="en-US" w:eastAsia="zh-CN" w:bidi="ar"/>
        </w:rPr>
        <w:t>备注：</w:t>
      </w:r>
    </w:p>
    <w:p>
      <w:pPr>
        <w:rPr>
          <w:rFonts w:hint="eastAsia" w:ascii="Times New Roman" w:hAnsi="Times New Roman" w:eastAsia="宋体" w:cs="宋体"/>
          <w:kern w:val="2"/>
          <w:sz w:val="24"/>
          <w:szCs w:val="24"/>
          <w:lang w:val="en-US" w:eastAsia="zh-CN" w:bidi="ar"/>
        </w:rPr>
      </w:pPr>
      <w:r>
        <w:rPr>
          <w:rFonts w:hint="eastAsia" w:ascii="Times New Roman" w:hAnsi="Times New Roman" w:eastAsia="宋体" w:cs="宋体"/>
          <w:b w:val="0"/>
          <w:bCs w:val="0"/>
          <w:kern w:val="2"/>
          <w:sz w:val="24"/>
          <w:szCs w:val="24"/>
          <w:lang w:val="en-US" w:eastAsia="zh-CN" w:bidi="ar"/>
        </w:rPr>
        <w:t>1.</w:t>
      </w:r>
      <w:r>
        <w:rPr>
          <w:rFonts w:hint="eastAsia" w:ascii="Times New Roman" w:hAnsi="Times New Roman" w:eastAsia="宋体" w:cs="宋体"/>
          <w:sz w:val="24"/>
          <w:lang w:bidi="ar"/>
        </w:rPr>
        <w:t>土地等别依据《城镇土地分等定级规程》</w:t>
      </w:r>
      <w:r>
        <w:rPr>
          <w:rFonts w:hint="eastAsia" w:ascii="Times New Roman" w:hAnsi="Times New Roman" w:eastAsia="宋体" w:cs="宋体"/>
          <w:sz w:val="24"/>
          <w:lang w:eastAsia="zh-CN" w:bidi="ar"/>
        </w:rPr>
        <w:t>（</w:t>
      </w:r>
      <w:r>
        <w:rPr>
          <w:rFonts w:hint="eastAsia" w:ascii="Times New Roman" w:hAnsi="Times New Roman" w:eastAsia="宋体" w:cs="宋体"/>
          <w:sz w:val="24"/>
          <w:lang w:bidi="ar"/>
        </w:rPr>
        <w:t>GB/T 18507</w:t>
      </w:r>
      <w:r>
        <w:rPr>
          <w:rFonts w:hint="eastAsia" w:ascii="Times New Roman" w:hAnsi="Times New Roman" w:eastAsia="宋体" w:cs="宋体"/>
          <w:sz w:val="24"/>
          <w:lang w:eastAsia="zh-CN" w:bidi="ar"/>
        </w:rPr>
        <w:t>）</w:t>
      </w:r>
      <w:r>
        <w:rPr>
          <w:rFonts w:hint="eastAsia" w:ascii="Times New Roman" w:hAnsi="Times New Roman" w:eastAsia="宋体" w:cs="宋体"/>
          <w:sz w:val="24"/>
          <w:lang w:bidi="ar"/>
        </w:rPr>
        <w:t>划分的城镇土地等别执行</w:t>
      </w:r>
      <w:r>
        <w:rPr>
          <w:rFonts w:hint="eastAsia" w:ascii="Times New Roman" w:hAnsi="Times New Roman" w:eastAsia="宋体" w:cs="宋体"/>
          <w:sz w:val="24"/>
          <w:lang w:eastAsia="zh-CN" w:bidi="ar"/>
        </w:rPr>
        <w:t>，</w:t>
      </w:r>
      <w:r>
        <w:rPr>
          <w:rFonts w:hint="eastAsia" w:ascii="Times New Roman" w:hAnsi="Times New Roman" w:eastAsia="宋体" w:cs="宋体"/>
          <w:kern w:val="2"/>
          <w:sz w:val="24"/>
          <w:szCs w:val="24"/>
          <w:lang w:val="en-US" w:eastAsia="zh-CN" w:bidi="ar"/>
        </w:rPr>
        <w:t>我省涉及1-4、9-15等。其中，成都市下辖各县（市、区）固定资产投资强度应在对应等别指标值基础上上浮10%。</w:t>
      </w:r>
    </w:p>
    <w:p>
      <w:pPr>
        <w:rPr>
          <w:rFonts w:hint="eastAsia" w:ascii="Times New Roman" w:hAnsi="Times New Roman" w:eastAsia="宋体" w:cs="宋体"/>
          <w:sz w:val="24"/>
          <w:szCs w:val="24"/>
          <w:lang w:val="en-US" w:bidi="ar"/>
        </w:rPr>
      </w:pPr>
      <w:r>
        <w:rPr>
          <w:rFonts w:hint="eastAsia" w:ascii="Times New Roman" w:hAnsi="Times New Roman" w:eastAsia="宋体" w:cs="宋体"/>
          <w:sz w:val="24"/>
          <w:szCs w:val="24"/>
          <w:lang w:val="en-US" w:eastAsia="zh-CN" w:bidi="ar"/>
        </w:rPr>
        <w:t>2.</w:t>
      </w:r>
      <w:r>
        <w:rPr>
          <w:rFonts w:hint="eastAsia" w:ascii="Times New Roman" w:hAnsi="Times New Roman" w:eastAsia="宋体" w:cs="宋体"/>
          <w:sz w:val="24"/>
          <w:lang w:bidi="ar"/>
        </w:rPr>
        <w:t>战略性新兴产业、先进制造业项目</w:t>
      </w:r>
      <w:r>
        <w:rPr>
          <w:rFonts w:hint="eastAsia" w:ascii="Times New Roman" w:hAnsi="Times New Roman" w:eastAsia="宋体" w:cs="宋体"/>
          <w:sz w:val="24"/>
          <w:lang w:val="en-US" w:eastAsia="zh-CN" w:bidi="ar"/>
        </w:rPr>
        <w:t>在</w:t>
      </w:r>
      <w:r>
        <w:rPr>
          <w:rFonts w:hint="eastAsia" w:ascii="Times New Roman" w:hAnsi="Times New Roman" w:eastAsia="宋体" w:cs="宋体"/>
          <w:sz w:val="24"/>
          <w:lang w:bidi="ar"/>
        </w:rPr>
        <w:t>对应的行业</w:t>
      </w:r>
      <w:r>
        <w:rPr>
          <w:rFonts w:hint="eastAsia" w:ascii="Times New Roman" w:hAnsi="Times New Roman" w:eastAsia="宋体" w:cs="宋体"/>
          <w:kern w:val="2"/>
          <w:sz w:val="24"/>
          <w:szCs w:val="24"/>
          <w:lang w:val="en-US" w:eastAsia="zh-CN" w:bidi="ar"/>
        </w:rPr>
        <w:t>指标值基础上</w:t>
      </w:r>
      <w:r>
        <w:rPr>
          <w:rFonts w:hint="eastAsia" w:ascii="Times New Roman" w:hAnsi="Times New Roman" w:eastAsia="宋体" w:cs="宋体"/>
          <w:sz w:val="24"/>
          <w:lang w:bidi="ar"/>
        </w:rPr>
        <w:t>上浮5%至10%</w:t>
      </w:r>
      <w:r>
        <w:rPr>
          <w:rFonts w:hint="eastAsia" w:ascii="Times New Roman" w:hAnsi="Times New Roman" w:eastAsia="宋体" w:cs="宋体"/>
          <w:sz w:val="24"/>
          <w:lang w:eastAsia="zh-CN" w:bidi="ar"/>
        </w:rPr>
        <w:t>，</w:t>
      </w:r>
      <w:r>
        <w:rPr>
          <w:rFonts w:hint="eastAsia" w:ascii="Times New Roman" w:hAnsi="Times New Roman" w:eastAsia="宋体" w:cs="宋体"/>
          <w:sz w:val="24"/>
          <w:lang w:val="en-US" w:eastAsia="zh-CN" w:bidi="ar"/>
        </w:rPr>
        <w:t>行业对照表见附件4、5</w:t>
      </w:r>
      <w:r>
        <w:rPr>
          <w:rFonts w:hint="eastAsia" w:ascii="Times New Roman" w:hAnsi="Times New Roman" w:eastAsia="宋体" w:cs="宋体"/>
          <w:sz w:val="24"/>
          <w:lang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840" w:firstLineChars="300"/>
        <w:jc w:val="both"/>
        <w:textAlignment w:val="auto"/>
        <w:rPr>
          <w:rFonts w:hint="default" w:ascii="Times New Roman" w:hAnsi="Times New Roman" w:cs="Times New Roman"/>
          <w:sz w:val="28"/>
          <w:szCs w:val="28"/>
          <w:lang w:val="en-US"/>
        </w:rPr>
      </w:pPr>
    </w:p>
    <w:p>
      <w:pPr>
        <w:rPr>
          <w:rFonts w:hint="default" w:ascii="Times New Roman" w:hAnsi="Times New Roman" w:eastAsia="等线" w:cs="Times New Roman"/>
          <w:kern w:val="2"/>
          <w:sz w:val="21"/>
          <w:szCs w:val="22"/>
          <w:lang w:val="en-US" w:eastAsia="zh-CN" w:bidi="ar"/>
        </w:rPr>
        <w:sectPr>
          <w:pgSz w:w="16838" w:h="11906" w:orient="landscape"/>
          <w:pgMar w:top="1406" w:right="1440" w:bottom="1406" w:left="1440" w:header="851" w:footer="850" w:gutter="0"/>
          <w:pgNumType w:fmt="decimal"/>
          <w:cols w:space="720" w:num="1"/>
          <w:docGrid w:type="lines" w:linePitch="435" w:charSpace="0"/>
        </w:sect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both"/>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附件2</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both"/>
        <w:textAlignment w:val="auto"/>
        <w:rPr>
          <w:rFonts w:hint="default" w:ascii="Times New Roman" w:hAnsi="Times New Roman" w:eastAsia="黑体" w:cs="Times New Roman"/>
          <w:kern w:val="2"/>
          <w:sz w:val="32"/>
          <w:szCs w:val="32"/>
          <w:lang w:val="en-US" w:eastAsia="zh-CN" w:bidi="ar"/>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方正小标宋简体"/>
          <w:kern w:val="2"/>
          <w:sz w:val="44"/>
          <w:szCs w:val="44"/>
          <w:lang w:val="en-US" w:eastAsia="zh-CN" w:bidi="ar"/>
        </w:rPr>
      </w:pPr>
      <w:r>
        <w:rPr>
          <w:rFonts w:hint="eastAsia" w:ascii="Times New Roman" w:hAnsi="Times New Roman" w:eastAsia="方正小标宋简体" w:cs="方正小标宋简体"/>
          <w:kern w:val="2"/>
          <w:sz w:val="44"/>
          <w:szCs w:val="44"/>
          <w:lang w:val="en-US" w:eastAsia="zh-CN" w:bidi="ar"/>
        </w:rPr>
        <w:t>控制指标应用说明</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方正小标宋简体"/>
          <w:kern w:val="2"/>
          <w:sz w:val="36"/>
          <w:szCs w:val="32"/>
          <w:lang w:val="en-US" w:eastAsia="zh-CN" w:bidi="ar"/>
        </w:rPr>
      </w:pP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一、分类标准</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行业分类按照《国民经济行业分类》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GB/T 4754-2017</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的制造业分类执行。战略性新兴产业分类按照《战略性新兴产业分类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2018</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国家统计局令第23号</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执行，先进制造业分类按照《新产业新业态新商业模式统计分类</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2018</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国统字〔2018〕111号</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执行。土地等别按照依据《城镇土地分等定级规程》</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GB/T18507-2014</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划分的城镇土地等别执行。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二、指标解释</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1.容积率：项目用地范围内总建筑面积与项目总用地面积的比值。反映项目对土地的空间利用情况，是衡量土地利用强度的重要尺度之一。</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计算公式：容积率=项目总计容建筑面积÷项目总用地面积。（建筑物层高超过8米的，在计算容积率时该层建筑面积加倍计算。）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2.建筑系数：指项目用地范围内各种建筑物基底占地面积与总用地面积的比例。反映项目对土地在平面上的利用情况，是衡量土地利用强度及合理性的尺度之一。</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kern w:val="2"/>
          <w:sz w:val="32"/>
          <w:szCs w:val="32"/>
          <w:lang w:val="en-US" w:eastAsia="zh-CN" w:bidi="ar"/>
        </w:rPr>
        <w:t>计算公式：</w:t>
      </w:r>
      <w:r>
        <w:rPr>
          <w:rFonts w:hint="eastAsia" w:ascii="Times New Roman" w:hAnsi="Times New Roman" w:eastAsia="仿宋_GB2312" w:cs="仿宋_GB2312"/>
          <w:sz w:val="32"/>
          <w:szCs w:val="32"/>
          <w:lang w:bidi="ar"/>
        </w:rPr>
        <w:t>建筑系数=</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建筑物占地面积+构筑物占地面积+堆场用地面积</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仿宋_GB2312"/>
          <w:sz w:val="32"/>
          <w:szCs w:val="32"/>
          <w:lang w:bidi="ar"/>
        </w:rPr>
        <w:t>项目总用地面积</w:t>
      </w:r>
      <w:r>
        <w:rPr>
          <w:rFonts w:hint="eastAsia" w:ascii="Times New Roman" w:hAnsi="Times New Roman" w:eastAsia="仿宋_GB2312" w:cs="仿宋_GB2312"/>
          <w:kern w:val="2"/>
          <w:sz w:val="32"/>
          <w:szCs w:val="32"/>
          <w:lang w:val="en-US" w:eastAsia="zh-CN" w:bidi="ar"/>
        </w:rPr>
        <w:t>×100%</w:t>
      </w:r>
      <w:r>
        <w:rPr>
          <w:rFonts w:hint="eastAsia" w:ascii="Times New Roman" w:hAnsi="Times New Roman" w:eastAsia="仿宋_GB2312" w:cs="仿宋_GB2312"/>
          <w:sz w:val="32"/>
          <w:szCs w:val="32"/>
          <w:lang w:bidi="ar"/>
        </w:rPr>
        <w:t>。</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3.行政办公及生活服务设施用地所占比重：项目用地范围内行政办公、生活服务设施占用土地面积占总用地面积的比例。反映项目中非生产配套设施使用土地的情况，是反映企业内部用地结构合理性的重要尺度之一。</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占用土地面积代替。</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4.固定资产投资强度：项目用地范围内单位土地面积上的固定资产投资额。反映单位土地上项目固定资产投资情况，是衡量工业用地投入水平的重要尺度。</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计算公式：固定资产投资强度=项目固定资产总投资÷项目总用地面积。其中，项目固定资产总投资包括建筑安装工程、设备工器具购置以及固定资产建造和购置过程中发生的其他费用。</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5.土地产出率：项目用地范围内单位土地面积上当年的营业收入。反映单位土地上项目当年的产出情况，是衡量土地产出水平的重要指标。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计算公式：土地产出率=项目当年营业收入÷项目总用地面积。</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kern w:val="2"/>
          <w:sz w:val="32"/>
          <w:szCs w:val="32"/>
          <w:lang w:val="en-US" w:eastAsia="zh-CN" w:bidi="ar"/>
        </w:rPr>
        <w:t>6.土地税收：项目用地范围内单位土地面积上当年上缴税金数量。反映单位土地上项目当年的税收情况，是衡量土地产出水平的另一个重要指标。</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计算公式：土地税收=项目当年税金上缴总额÷项目总用地面积。</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黑体"/>
          <w:kern w:val="2"/>
          <w:sz w:val="32"/>
          <w:szCs w:val="32"/>
          <w:lang w:val="en-US" w:eastAsia="zh-CN" w:bidi="ar"/>
        </w:rPr>
      </w:pPr>
      <w:r>
        <w:rPr>
          <w:rFonts w:hint="eastAsia" w:ascii="Times New Roman" w:hAnsi="Times New Roman" w:eastAsia="黑体" w:cs="黑体"/>
          <w:kern w:val="2"/>
          <w:sz w:val="32"/>
          <w:szCs w:val="32"/>
          <w:lang w:val="en-US" w:eastAsia="zh-CN" w:bidi="ar"/>
        </w:rPr>
        <w:t>三、指标计算依据</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1.项目总用地面积、建</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构</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筑物占地面积、行政办公及生活服务设施用地面积，按照《地籍调查规程》</w:t>
      </w:r>
      <w:r>
        <w:rPr>
          <w:rFonts w:hint="eastAsia" w:ascii="Times New Roman" w:hAnsi="Times New Roman" w:eastAsia="仿宋_GB2312" w:cs="仿宋_GB2312"/>
          <w:sz w:val="32"/>
          <w:szCs w:val="32"/>
          <w:lang w:eastAsia="zh-CN" w:bidi="ar"/>
        </w:rPr>
        <w:t>（GB/T 42547-2023）</w:t>
      </w:r>
      <w:r>
        <w:rPr>
          <w:rFonts w:hint="eastAsia" w:ascii="Times New Roman" w:hAnsi="Times New Roman" w:eastAsia="仿宋_GB2312" w:cs="仿宋_GB2312"/>
          <w:sz w:val="32"/>
          <w:szCs w:val="32"/>
          <w:lang w:bidi="ar"/>
        </w:rPr>
        <w:t>测算。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2.项目总建筑面积、行政办公及生活服务设施建筑面积，按照《建筑工程建筑面积计算规范》</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GB/T 50353-2013</w:t>
      </w:r>
      <w:r>
        <w:rPr>
          <w:rFonts w:hint="eastAsia" w:ascii="Times New Roman" w:hAnsi="Times New Roman" w:eastAsia="仿宋_GB2312" w:cs="仿宋_GB2312"/>
          <w:sz w:val="32"/>
          <w:szCs w:val="32"/>
          <w:lang w:eastAsia="zh-CN" w:bidi="ar"/>
        </w:rPr>
        <w:t>）</w:t>
      </w:r>
      <w:r>
        <w:rPr>
          <w:rFonts w:hint="eastAsia" w:ascii="Times New Roman" w:hAnsi="Times New Roman" w:eastAsia="仿宋_GB2312" w:cs="仿宋_GB2312"/>
          <w:sz w:val="32"/>
          <w:szCs w:val="32"/>
          <w:lang w:bidi="ar"/>
        </w:rPr>
        <w:t>测算。</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上述国家标准、行业标准发生修订的，按照修订后的执行。</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仿宋_GB2312"/>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br w:type="page"/>
      </w:r>
      <w:r>
        <w:rPr>
          <w:rFonts w:hint="eastAsia" w:ascii="Times New Roman" w:hAnsi="Times New Roman" w:eastAsia="黑体" w:cs="黑体"/>
          <w:kern w:val="2"/>
          <w:sz w:val="32"/>
          <w:szCs w:val="32"/>
          <w:lang w:val="en-US" w:eastAsia="zh-CN" w:bidi="ar"/>
        </w:rPr>
        <w:t>附件3</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方正小标宋简体" w:cs="方正小标宋简体"/>
          <w:kern w:val="2"/>
          <w:sz w:val="44"/>
          <w:szCs w:val="44"/>
          <w:lang w:val="en-US" w:eastAsia="zh-CN" w:bidi="ar"/>
        </w:rPr>
      </w:pPr>
      <w:r>
        <w:rPr>
          <w:rFonts w:hint="eastAsia" w:ascii="Times New Roman" w:hAnsi="Times New Roman" w:eastAsia="方正小标宋简体" w:cs="方正小标宋简体"/>
          <w:kern w:val="2"/>
          <w:sz w:val="44"/>
          <w:szCs w:val="44"/>
          <w:lang w:val="en-US" w:eastAsia="zh-CN" w:bidi="ar"/>
        </w:rPr>
        <w:t>《国民经济行业分类》制造业分类表</w:t>
      </w:r>
    </w:p>
    <w:tbl>
      <w:tblPr>
        <w:tblStyle w:val="4"/>
        <w:tblW w:w="81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40"/>
        <w:gridCol w:w="1240"/>
        <w:gridCol w:w="5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blHeader/>
          <w:jc w:val="center"/>
        </w:trPr>
        <w:tc>
          <w:tcPr>
            <w:tcW w:w="12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大类</w:t>
            </w:r>
          </w:p>
        </w:tc>
        <w:tc>
          <w:tcPr>
            <w:tcW w:w="124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中类</w:t>
            </w:r>
          </w:p>
        </w:tc>
        <w:tc>
          <w:tcPr>
            <w:tcW w:w="564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b/>
                <w:bCs/>
                <w:i w:val="0"/>
                <w:iCs w:val="0"/>
                <w:color w:val="auto"/>
                <w:sz w:val="22"/>
                <w:szCs w:val="22"/>
                <w:u w:val="none"/>
              </w:rPr>
            </w:pPr>
            <w:r>
              <w:rPr>
                <w:rFonts w:hint="eastAsia" w:ascii="Times New Roman" w:hAnsi="Times New Roman" w:eastAsia="宋体" w:cs="宋体"/>
                <w:b/>
                <w:bCs/>
                <w:i w:val="0"/>
                <w:iCs w:val="0"/>
                <w:color w:val="auto"/>
                <w:kern w:val="0"/>
                <w:sz w:val="22"/>
                <w:szCs w:val="22"/>
                <w:u w:val="none"/>
                <w:lang w:val="en-US" w:eastAsia="zh-CN" w:bidi="ar"/>
              </w:rPr>
              <w:t>类别名称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农副食品加工业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谷物磨制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饲料加工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植物油加工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制糖业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屠宰及肉类加工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水产品加工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蔬菜、菌类、水果和坚果加工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139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其他农副食品加工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食品制造业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焙烤食品制造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糖果、巧克力及蜜饯制造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方便食品制造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乳制品制造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罐头食品制造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调味品、发酵制品制造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149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其他食品制造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酒、饮料和精制茶制造业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酒的制造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饮料制造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153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精制茶加工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烟草制品业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烟叶复烤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卷烟制造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169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其他烟草制品制造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纺织业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棉纺织及印染精加工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毛纺织及染整精加工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麻纺织及染整精加工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丝绢纺织及印染精加工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化纤织造及印染精加工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针织或钩针编织物及其制品制造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家用纺织制成品制造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178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产业用纺织制成品制造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纺织服装、服饰业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机织服装制造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针织或钩针编织服装制造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183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服饰制造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皮革、毛皮、羽毛及其制品和制鞋业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皮革</w:t>
            </w:r>
            <w:r>
              <w:rPr>
                <w:rFonts w:hint="eastAsia" w:ascii="Times New Roman" w:hAnsi="Times New Roman" w:cs="宋体"/>
                <w:i w:val="0"/>
                <w:iCs w:val="0"/>
                <w:color w:val="auto"/>
                <w:kern w:val="0"/>
                <w:sz w:val="22"/>
                <w:szCs w:val="22"/>
                <w:u w:val="none"/>
                <w:lang w:val="en-US" w:eastAsia="zh-CN" w:bidi="ar"/>
              </w:rPr>
              <w:t>鞣制</w:t>
            </w:r>
            <w:r>
              <w:rPr>
                <w:rFonts w:hint="eastAsia" w:ascii="Times New Roman" w:hAnsi="Times New Roman" w:eastAsia="宋体" w:cs="宋体"/>
                <w:i w:val="0"/>
                <w:iCs w:val="0"/>
                <w:color w:val="auto"/>
                <w:kern w:val="0"/>
                <w:sz w:val="22"/>
                <w:szCs w:val="22"/>
                <w:u w:val="none"/>
                <w:lang w:val="en-US" w:eastAsia="zh-CN" w:bidi="ar"/>
              </w:rPr>
              <w:t>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皮革制品制造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毛皮</w:t>
            </w:r>
            <w:r>
              <w:rPr>
                <w:rFonts w:hint="eastAsia" w:ascii="Times New Roman" w:hAnsi="Times New Roman" w:cs="宋体"/>
                <w:i w:val="0"/>
                <w:iCs w:val="0"/>
                <w:color w:val="auto"/>
                <w:kern w:val="0"/>
                <w:sz w:val="22"/>
                <w:szCs w:val="22"/>
                <w:u w:val="none"/>
                <w:lang w:val="en-US" w:eastAsia="zh-CN" w:bidi="ar"/>
              </w:rPr>
              <w:t>鞣制</w:t>
            </w:r>
            <w:r>
              <w:rPr>
                <w:rFonts w:hint="eastAsia" w:ascii="Times New Roman" w:hAnsi="Times New Roman" w:eastAsia="宋体" w:cs="宋体"/>
                <w:i w:val="0"/>
                <w:iCs w:val="0"/>
                <w:color w:val="auto"/>
                <w:kern w:val="0"/>
                <w:sz w:val="22"/>
                <w:szCs w:val="22"/>
                <w:u w:val="none"/>
                <w:lang w:val="en-US" w:eastAsia="zh-CN" w:bidi="ar"/>
              </w:rPr>
              <w:t>及制品加工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羽毛（绒）加工及制品制造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195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制鞋业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木材加工和木、竹、藤、棕、草制品业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木材加工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人造板制造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木质制品制造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204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竹、藤、棕、草等制品制造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家具制造业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木质家具制造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竹、藤家具制造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塑料家具制造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219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其他家具制造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造纸和纸制品业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纸浆制造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造纸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223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纸制品制造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印刷和记录媒介复制业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印刷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装订及印刷相关服务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记录媒介复制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文教、工美、体育和娱乐用品制造业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文教办公用品制造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乐器制造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工艺美术及礼仪用品制造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体育用品制造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玩具制造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246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游艺器材及娱乐用品制造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石油、煤炭及其他燃料加工业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精炼石油产品制造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煤炭加工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核燃料加工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254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生物质燃料加工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化学原料和化学制品制造业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基础化学原料制造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肥料制造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农药制造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涂料、油墨、颜料及类似产品制造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合成材料制造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专用化学产品制造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炸药、火工及焰火产品制造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268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日用化学产品制造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医药制造业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化学药品原料药制造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化学药品制剂制造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中药饮片加工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中成药生产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兽用药品制造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生物药品制品制造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卫生材料及医药用品制造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278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药用辅料及包装材料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化学纤维制造业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纤维素纤维原料及纤维制造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合成纤维制造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283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生物基材料制造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橡胶和塑料制品业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橡胶制品业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292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塑料制品业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非金属矿物制品业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水泥、石灰和石膏制造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石膏、水泥制品及类似制品制造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砖瓦、石材等建筑材料制造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玻璃制造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玻璃制品制造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玻璃纤维和玻璃纤维增强塑料制品制造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陶瓷制品制造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耐火材料制品制造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309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石墨及其他非金属矿物制品制造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黑色金属冶炼和压延加工业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炼铁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炼钢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钢压延加工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314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铁合金冶炼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有色金属冶炼和压延加工业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常用有色金属冶炼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贵金属冶炼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稀有稀土金属冶炼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有色金属合金制造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325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有色金属压延加工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结构性金属制品制造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金属工具制造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集装箱及金属包装容器制造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金属丝绳及其制品制造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建筑、安全用金属制品制造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金属表面处理及热处理加工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搪瓷制品制造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金属制日用品制造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339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铸造及其他金属制品制造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锅炉及原动设备制造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金属加工机械制造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物料搬运设备制造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泵、阀门、压缩机及类似机械制造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轴承、齿轮和传动部件制造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烘炉、风机、包装等设备制造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文化、办公用机械制造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通用零部件制造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349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其他通用设备制造业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cs="宋体"/>
                <w:i w:val="0"/>
                <w:iCs w:val="0"/>
                <w:color w:val="auto"/>
                <w:kern w:val="0"/>
                <w:sz w:val="22"/>
                <w:szCs w:val="22"/>
                <w:u w:val="none"/>
                <w:lang w:val="en-US" w:eastAsia="zh-CN" w:bidi="ar"/>
              </w:rPr>
              <w:t>采</w:t>
            </w:r>
            <w:r>
              <w:rPr>
                <w:rFonts w:hint="eastAsia" w:ascii="Times New Roman" w:hAnsi="Times New Roman" w:eastAsia="宋体" w:cs="宋体"/>
                <w:i w:val="0"/>
                <w:iCs w:val="0"/>
                <w:color w:val="auto"/>
                <w:kern w:val="0"/>
                <w:sz w:val="22"/>
                <w:szCs w:val="22"/>
                <w:u w:val="none"/>
                <w:lang w:val="en-US" w:eastAsia="zh-CN" w:bidi="ar"/>
              </w:rPr>
              <w:t>矿、冶金、建筑专用设备制造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化工、木材、非金属加工专用设备制造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食品、饮料、烟草及饲料生产专用设备制造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印刷、制药、日化及日用品生产专用设备制造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纺织、服装和皮革加工专用设备制造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电子和电工机械专用设备制造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农、林、牧、渔专用机械制造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医疗仪器设备及器械制造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359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环保、邮政、社会公共服务及其他专用设备制造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汽车整车制造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汽车用发动机制造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改装汽车制造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低速汽车制造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汽车车身、挂车制造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367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汽车零部件及配件制造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铁路、船舶、航空航天和其他运输设备制造业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铁路运输设备制造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城市轨道交通设备制造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船舶及相关装置制造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航空、航天器及设备制造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摩托车制造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自行车和残疾人座车制造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助动车制造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非公路休闲车及零配件制造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379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潜水救捞及其他未列明运输设备制造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电气机械和器材制造业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输配电及控制设备制造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电线、电缆、光缆及电工器材制造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电池制造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家用电力器具制造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非电力家用器具制造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照明器具制造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389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其他电气机械及器材制造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计算机、通信和其他电子设备制造业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计算机制造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通信设备制造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广播电视设备制造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雷达及配套设备制造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非专业视听设备制造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智能消费设备制造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397</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电子器件制造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398</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电子元件及电子专用材料制造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399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其他电子设备制造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仪器仪表制造业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专用仪器仪表制造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钟表与计时仪器制造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光学仪器制造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衡器制造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409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其他仪器仪表制造业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日用杂品制造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核辐射加工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419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其他未列明制造业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废弃资源综合利用业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金属废料和碎屑加工处理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422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非金属废料和碎屑加工处理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w:t>
            </w:r>
          </w:p>
        </w:tc>
        <w:tc>
          <w:tcPr>
            <w:tcW w:w="12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564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金属制品、机械和设备修理业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431</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金属制品修理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432</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通用设备修理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433</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专用设备修理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434</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铁路、船舶、航空航天等运输设备修理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435</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电气设备修理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436</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仪器仪表修理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24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　</w:t>
            </w:r>
          </w:p>
        </w:tc>
        <w:tc>
          <w:tcPr>
            <w:tcW w:w="12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0"/>
                <w:szCs w:val="20"/>
                <w:u w:val="none"/>
              </w:rPr>
            </w:pPr>
            <w:r>
              <w:rPr>
                <w:rFonts w:hint="eastAsia" w:ascii="Times New Roman" w:hAnsi="Times New Roman" w:eastAsia="宋体" w:cs="宋体"/>
                <w:i w:val="0"/>
                <w:iCs w:val="0"/>
                <w:color w:val="auto"/>
                <w:kern w:val="0"/>
                <w:sz w:val="20"/>
                <w:szCs w:val="20"/>
                <w:u w:val="none"/>
                <w:lang w:val="en-US" w:eastAsia="zh-CN" w:bidi="ar"/>
              </w:rPr>
              <w:t>439</w:t>
            </w:r>
          </w:p>
        </w:tc>
        <w:tc>
          <w:tcPr>
            <w:tcW w:w="564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宋体"/>
                <w:i w:val="0"/>
                <w:iCs w:val="0"/>
                <w:color w:val="auto"/>
                <w:sz w:val="22"/>
                <w:szCs w:val="22"/>
                <w:u w:val="none"/>
              </w:rPr>
            </w:pPr>
            <w:r>
              <w:rPr>
                <w:rFonts w:hint="eastAsia" w:ascii="Times New Roman" w:hAnsi="Times New Roman" w:eastAsia="宋体" w:cs="宋体"/>
                <w:i w:val="0"/>
                <w:iCs w:val="0"/>
                <w:color w:val="auto"/>
                <w:kern w:val="0"/>
                <w:sz w:val="22"/>
                <w:szCs w:val="22"/>
                <w:u w:val="none"/>
                <w:lang w:val="en-US" w:eastAsia="zh-CN" w:bidi="ar"/>
              </w:rPr>
              <w:t>其他机械和设备修理业</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both"/>
        <w:textAlignment w:val="auto"/>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2"/>
          <w:szCs w:val="32"/>
          <w:lang w:val="en-US" w:eastAsia="zh-CN" w:bidi="ar"/>
        </w:rPr>
      </w:pPr>
      <w:r>
        <w:rPr>
          <w:rFonts w:hint="eastAsia" w:ascii="Times New Roman" w:hAnsi="Times New Roman" w:eastAsia="方正小标宋简体" w:cs="方正小标宋简体"/>
          <w:kern w:val="2"/>
          <w:sz w:val="44"/>
          <w:szCs w:val="44"/>
          <w:lang w:val="en-US" w:eastAsia="zh-CN" w:bidi="ar"/>
        </w:rPr>
        <w:br w:type="page"/>
      </w:r>
      <w:r>
        <w:rPr>
          <w:rFonts w:hint="eastAsia" w:ascii="Times New Roman" w:hAnsi="Times New Roman" w:eastAsia="黑体" w:cs="黑体"/>
          <w:kern w:val="2"/>
          <w:sz w:val="32"/>
          <w:szCs w:val="32"/>
          <w:lang w:val="en-US" w:eastAsia="zh-CN" w:bidi="ar"/>
        </w:rPr>
        <w:t>附件4</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方正小标宋简体" w:cs="方正小标宋简体"/>
          <w:spacing w:val="-6"/>
          <w:sz w:val="44"/>
          <w:szCs w:val="44"/>
          <w:lang w:bidi="ar"/>
        </w:rPr>
      </w:pPr>
      <w:r>
        <w:rPr>
          <w:rFonts w:hint="eastAsia" w:ascii="Times New Roman" w:hAnsi="Times New Roman" w:eastAsia="方正小标宋简体" w:cs="方正小标宋简体"/>
          <w:spacing w:val="-6"/>
          <w:sz w:val="44"/>
          <w:szCs w:val="44"/>
          <w:lang w:bidi="ar"/>
        </w:rPr>
        <w:t>战略性新兴产业与《国民经济行业分类》对照表</w:t>
      </w:r>
    </w:p>
    <w:tbl>
      <w:tblPr>
        <w:tblStyle w:val="4"/>
        <w:tblW w:w="93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1"/>
        <w:gridCol w:w="3825"/>
        <w:gridCol w:w="4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blHeader/>
          <w:jc w:val="center"/>
        </w:trPr>
        <w:tc>
          <w:tcPr>
            <w:tcW w:w="134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代码</w:t>
            </w:r>
          </w:p>
        </w:tc>
        <w:tc>
          <w:tcPr>
            <w:tcW w:w="382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战略性新兴产业名称</w:t>
            </w:r>
          </w:p>
        </w:tc>
        <w:tc>
          <w:tcPr>
            <w:tcW w:w="416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bCs/>
                <w:i w:val="0"/>
                <w:iCs w:val="0"/>
                <w:color w:val="auto"/>
                <w:sz w:val="22"/>
                <w:szCs w:val="22"/>
                <w:u w:val="none"/>
              </w:rPr>
            </w:pPr>
            <w:r>
              <w:rPr>
                <w:rFonts w:hint="eastAsia" w:asciiTheme="minorEastAsia" w:hAnsiTheme="minorEastAsia" w:eastAsiaTheme="minorEastAsia" w:cstheme="minorEastAsia"/>
                <w:b/>
                <w:bCs/>
                <w:i w:val="0"/>
                <w:iCs w:val="0"/>
                <w:color w:val="auto"/>
                <w:kern w:val="0"/>
                <w:sz w:val="22"/>
                <w:szCs w:val="22"/>
                <w:u w:val="none"/>
                <w:lang w:val="en-US" w:eastAsia="zh-CN" w:bidi="ar"/>
              </w:rPr>
              <w:t>国民经济行业代码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新一代信息技术产业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下一代信息网络产业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网络设备制造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新型计算机及信息终端设备制造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信息安全设备制造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电子核心产业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新型电子元器件及设备制造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电子专用设备仪器制造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高储能和关键电子材料制造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26、29、32、38、39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1.2.4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集成电路制造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人工智能</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智能消费相关设备制造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高端装备制造产业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智能制造装备产业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机器人与增材设备制造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重大成套设备制造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智能测控装备制造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其他智能设备制造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智能关键基础零部件制造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智能制造相关服务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航空装备产业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航空器装备制造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其他航空装备制造及相关服务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37、38、39、43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卫星及应用产业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卫星应用技术设备制造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2.3.4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其他航天器及运载火箭制造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轨道交通装备产业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铁路高端装备制造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城市轨道装备制造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2.4.3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其他轨道交通装备制造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海洋工程装备产业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海洋工程装备制造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深海石油钻探设备制造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其他海洋相关设备与产品制造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26、35、37、38、39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海洋环境监测与探测装备制造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37、39、40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新材料产业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先进制造基础零部件用钢制造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高技术船舶及海洋工程用钢加工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先进轨道交通用钢加工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新型高强塑汽车钢加工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能源用钢加工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能源油气钻采集储用钢加工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石化压力容器用钢加工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3.1.8</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新一代功能复合化建筑用钢加工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3.1.9</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高性能工程、矿山及农业机械用钢加工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高品质不锈钢及耐蚀合金加工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其他先进钢铁材料制造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3.1.12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先进有色金属材料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铝及铝合金制造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铜及铜合金制造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钛及钛合金制造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镁及镁合金制造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稀有金属材料制造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贵金属材料制造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稀土新材料制造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3.2.8</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硬质合金及制品制造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3.2.9</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其他有色金属材料制造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26、31、32、39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先进石化化工新材料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高性能塑料及树脂制造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聚氨酯材料及原料制造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氟硅合成材料制造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高性能橡胶及弹性体制造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高性能膜材料制造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专用化学品及材料制造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新型功能涂层材料制造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3.3.8</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生物基合成材料制造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3.3.9</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生命基高分子材料及功能化合物制造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其他化工新材料制造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先进无机非金属材料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特种玻璃制造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特种陶瓷制造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人工晶体制造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新型建筑材料制造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矿物功能材料制造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高性能纤维及制品和复合材料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高性能纤维复合材料制造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其他高性能复合材料制造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前沿新材料</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3D打印用材料制造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26、28、29、30、31、32、33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超导材料制造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智能、仿生与超材料制造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纳米材料制造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26、28、29、30、31、32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生物医用材料制造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27、30、32、35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液态金属制造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生物医药产业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生物药品制品制造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化学药品与原料药制造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现代中药与民族药制造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生物医药关键装备与原辅料制造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生物医学工程产业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先进医疗设备及器械制造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植介入生物医用材料及设备制造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其他生物医用材料及用品制造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生物农业及相关产业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生物育种</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生物农药制造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生物肥料制造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生物饲料制造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生物兽药、兽用生物制品及疫苗制造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生物相关原料供应体系活动</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4.4.2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生物质燃料加工</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生物化工制品制造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生物酶等发酵制品制造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海洋生物制品制造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4.5.5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其他生物工程相关设备制造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新能源汽车整车制造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新能源汽车整车制造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新能源汽车装置、配件制造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电机、发动机制造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新能源汽车储能装置制造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新能源汽车零部件配件制造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34、35、36、38、40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新能源汽车相关设施制造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供能装置制造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29、34、36、38、39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试验装置制造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5.3.3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其他相关设施制造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核电产业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核燃料加工及设备制造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核电装备制造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风能发电机装备及零部件制造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风能发电其他相关装备及材料制造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26、30、35、37、38、40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6.2.5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风能发电工程技术服务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太阳能设备和生产装备制造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30、34、35、38、40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26、30、33、35、39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6.3.5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太阳能工程技术服务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6.4</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生物质能及其他新能源产业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6.4.1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生物质能及其他新能源设备制造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6.4.6</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生物质能工程技术服务</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6.5</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智能电网产业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6.5.1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智能电力控制设备及电缆制造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6.5.2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电力电子基础元器件制造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节能环保产业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高效节能通用设备制造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高效节能专用设备制造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高效节能电气机械器材制造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7.1.4</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高效节能工业控制装置制造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7.1.5</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绿色节能建筑材料制造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29、30、33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先进环保产业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环境保护专用设备制造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7.2.2</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环境保护监测仪器及电子设备制造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7.2.3</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环境污染处理药剂材料制造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资源循环利用产业</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7.3.1</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矿产资源与工业废弃资源利用设备制造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7.3.3</w:t>
            </w:r>
          </w:p>
        </w:tc>
        <w:tc>
          <w:tcPr>
            <w:tcW w:w="38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工业固体废物、废气、废液回收和资源化利用</w:t>
            </w:r>
          </w:p>
        </w:tc>
        <w:tc>
          <w:tcPr>
            <w:tcW w:w="416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14、15、17、19、22、25、29、30、31、32、34、35、36、42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7.3.4</w:t>
            </w:r>
          </w:p>
        </w:tc>
        <w:tc>
          <w:tcPr>
            <w:tcW w:w="382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城乡生活垃圾与农林废弃资源利用设备制造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7.3.7</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水及海水资源利用设备制造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33、34、35、37、40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数字创意产业</w:t>
            </w:r>
          </w:p>
        </w:tc>
        <w:tc>
          <w:tcPr>
            <w:tcW w:w="4163"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8.1</w:t>
            </w:r>
          </w:p>
        </w:tc>
        <w:tc>
          <w:tcPr>
            <w:tcW w:w="3825"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数字创意技术设备制造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341"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8.1.0</w:t>
            </w:r>
          </w:p>
        </w:tc>
        <w:tc>
          <w:tcPr>
            <w:tcW w:w="382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数字创意技术设备制造</w:t>
            </w:r>
          </w:p>
        </w:tc>
        <w:tc>
          <w:tcPr>
            <w:tcW w:w="4163"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34、39</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Times New Roman" w:hAnsi="Times New Roman"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黑体" w:cs="Times New Roman"/>
          <w:kern w:val="2"/>
          <w:sz w:val="32"/>
          <w:szCs w:val="32"/>
          <w:lang w:val="en-US" w:eastAsia="zh-CN" w:bidi="ar"/>
        </w:rPr>
      </w:pPr>
      <w:r>
        <w:rPr>
          <w:rFonts w:hint="eastAsia" w:ascii="Times New Roman" w:hAnsi="Times New Roman" w:eastAsia="方正小标宋简体" w:cs="方正小标宋简体"/>
          <w:kern w:val="2"/>
          <w:sz w:val="44"/>
          <w:szCs w:val="44"/>
          <w:lang w:val="en-US" w:eastAsia="zh-CN" w:bidi="ar"/>
        </w:rPr>
        <w:br w:type="page"/>
      </w:r>
      <w:r>
        <w:rPr>
          <w:rFonts w:hint="eastAsia" w:ascii="Times New Roman" w:hAnsi="Times New Roman" w:eastAsia="黑体" w:cs="黑体"/>
          <w:kern w:val="2"/>
          <w:sz w:val="32"/>
          <w:szCs w:val="32"/>
          <w:lang w:val="en-US" w:eastAsia="zh-CN" w:bidi="ar"/>
        </w:rPr>
        <w:t>附件5</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方正小标宋简体" w:cs="方正小标宋简体"/>
          <w:kern w:val="2"/>
          <w:sz w:val="44"/>
          <w:szCs w:val="44"/>
          <w:lang w:val="en-US" w:eastAsia="zh-CN" w:bidi="ar"/>
        </w:rPr>
      </w:pPr>
      <w:r>
        <w:rPr>
          <w:rFonts w:hint="eastAsia" w:ascii="Times New Roman" w:hAnsi="Times New Roman" w:eastAsia="方正小标宋简体" w:cs="方正小标宋简体"/>
          <w:sz w:val="44"/>
          <w:szCs w:val="44"/>
          <w:lang w:bidi="ar"/>
        </w:rPr>
        <w:t>先进制造业与《国民经济行业分类》对照表</w:t>
      </w:r>
    </w:p>
    <w:tbl>
      <w:tblPr>
        <w:tblStyle w:val="4"/>
        <w:tblW w:w="89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4080"/>
        <w:gridCol w:w="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blHeader/>
          <w:jc w:val="center"/>
        </w:trPr>
        <w:tc>
          <w:tcPr>
            <w:tcW w:w="10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代码</w:t>
            </w:r>
          </w:p>
        </w:tc>
        <w:tc>
          <w:tcPr>
            <w:tcW w:w="408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先进制造业名称</w:t>
            </w:r>
          </w:p>
        </w:tc>
        <w:tc>
          <w:tcPr>
            <w:tcW w:w="38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国民经济行业代码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先进制造业</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新一代信息技术设备制造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网络设备制造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新型计算机及信息终端设备制造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信息安全设备制造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新型电子元器件及设备制造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电子专用设备仪器制造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高储能和关键电子材料制造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26、29、30、32、38、39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集成电路及专用设备制造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智能消费相关设备制造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020109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数字创意技术设备制造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高端装备制造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航空器装备制造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其他航空装备制造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32、35、37、38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卫星应用技术设备制造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39</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其他航天器及运载火箭制造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铁路高端装备制造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城市轨道装备制造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其他轨道交通装备制造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34、37、38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海洋工程装备制造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020210</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深海石油钻探设备制造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其他海洋相关设备与产品制造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26、35、37、38、39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海洋环境监测与探测装备制造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37、39、40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机器人与增材设备制造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重大成套设备制造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智能测控装备制造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其他智能设备制造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33、34、35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020217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智能关键基础零部件制造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设备工程用先进钢材制造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高品质不锈钢及耐蚀合金制造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31</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020303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先进钢铁材料制品制造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33</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先进有色金属材料制造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铝及铝合金制造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铜及铜合金制造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钛及钛合金制造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镁及镁合金制造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稀有金属材料制造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贵金属材料制造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稀土新材料制造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硬质合金及制品制造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32</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020409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其他有色金属材料制造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26、31、32、39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先进石化化工新材料制造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高性能塑料及树脂制造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聚氨酯材料及原料制造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氟硅合成材料制造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高性能橡胶及弹性体制造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高性能膜材料制造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专用化学品及材料制造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新型功能涂层材料制造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020508</w:t>
            </w:r>
          </w:p>
        </w:tc>
        <w:tc>
          <w:tcPr>
            <w:tcW w:w="40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生物基合成材料、高分子材料及功能化合物制造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020509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其他化工新材料制造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先进无机非金属材料制造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特种玻璃制造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特种陶瓷制造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人工晶体制造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30</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新型建筑材料制造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020605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矿物功能材料制造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高性能纤维及制品和复合材料制造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高性能纤维及制品制造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高性能纤维复合材料制造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020703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其他高性能复合材料制造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前沿新材料制造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3D</w:t>
            </w:r>
            <w:r>
              <w:rPr>
                <w:rStyle w:val="7"/>
                <w:rFonts w:hint="eastAsia" w:asciiTheme="minorEastAsia" w:hAnsiTheme="minorEastAsia" w:eastAsiaTheme="minorEastAsia" w:cstheme="minorEastAsia"/>
                <w:lang w:val="en-US" w:eastAsia="zh-CN" w:bidi="ar"/>
              </w:rPr>
              <w:t>打印用材料制造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26、28、29、30、31、32、33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超导材料制造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智能、仿生与超材料制造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石墨烯材料制造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纳米材料制造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26、28、29、30、31、32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生物医用材料制造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27、30、32、35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020807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液态金属制造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生物产品制造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生物药品制品制造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化学药品与原料药制造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现代中药与民族药制造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生物医药关键装备与原辅料制造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27</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生物农药制造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生物肥料制造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生物饲料制造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13</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生物兽药、兽用生物制品及疫苗制造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生物基材料制造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020910</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生物化工制品制造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020911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生物酶等发酵制品制造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020912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海洋生物制品制造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生物质燃料制造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生物乙醇制造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生物航空煤油制造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生物柴油制造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021004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生物质致密成型燃料制造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生物制造相关设备制造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先进医疗设备及器械制造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植介入生物医用材料及设备制造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其他生物医用材料及用品制造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生物相关原料供应设备制造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021105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其他生物工程相关设备制造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新能源汽车及相关设备制造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新能源汽车整车制造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电机、发动机制造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新能源汽车储能装置制造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新能源汽车零部件配件制造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34、35、36、38、40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供能装置制造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29、34、36、38、39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试验装置制造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电控系统制造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智能网联传感及决策控制器制造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021209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其他相关设施制造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26</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新能源设备制造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核燃料加工设备制造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核能装备制造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太阳能材料、设备和生产装备制造</w:t>
            </w:r>
          </w:p>
        </w:tc>
        <w:tc>
          <w:tcPr>
            <w:tcW w:w="382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26、30、33、34、35、38、39、40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生物质能及其他新能源设备制造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34、35、38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智能电力控制设备及电缆制造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电力电子基础元器件制造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风能发电机装备及零部件制造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34</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021308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风能发电其他相关装备及材料制造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26、30、35、37、38、40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w:t>
            </w:r>
          </w:p>
        </w:tc>
        <w:tc>
          <w:tcPr>
            <w:tcW w:w="408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节能环保设备和产品制造</w:t>
            </w:r>
          </w:p>
        </w:tc>
        <w:tc>
          <w:tcPr>
            <w:tcW w:w="3820" w:type="dxa"/>
            <w:tcBorders>
              <w:top w:val="nil"/>
              <w:left w:val="nil"/>
              <w:bottom w:val="single" w:color="auto" w:sz="4" w:space="0"/>
              <w:right w:val="single" w:color="auto" w:sz="4" w:space="0"/>
            </w:tcBorders>
            <w:shd w:val="clear" w:color="000000" w:fill="AEAAAA"/>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高效节能通用设备制造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高效节能电气机械器材制造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021404</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高效节能工业控制装置制造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021405</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绿色节能建筑材料制造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29</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021406</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35、38、39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021407</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环境保护监测仪器及电子设备制造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021408</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环境污染处理药剂材料制造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021409</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矿产资源与工业废弃资源利用设备制造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33、34、35、40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021410</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高效节水灌溉设备制造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021411</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高效工业节水设备制造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021412</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高效节水产品制造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33、34、40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08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Fonts w:hint="eastAsia" w:asciiTheme="minorEastAsia" w:hAnsiTheme="minorEastAsia" w:eastAsiaTheme="minorEastAsia" w:cstheme="minorEastAsia"/>
                <w:i w:val="0"/>
                <w:iCs w:val="0"/>
                <w:color w:val="auto"/>
                <w:kern w:val="0"/>
                <w:sz w:val="20"/>
                <w:szCs w:val="20"/>
                <w:u w:val="none"/>
                <w:lang w:val="en-US" w:eastAsia="zh-CN" w:bidi="ar"/>
              </w:rPr>
              <w:t>021413</w:t>
            </w:r>
          </w:p>
        </w:tc>
        <w:tc>
          <w:tcPr>
            <w:tcW w:w="408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2"/>
                <w:szCs w:val="22"/>
                <w:u w:val="none"/>
              </w:rPr>
            </w:pPr>
            <w:r>
              <w:rPr>
                <w:rFonts w:hint="eastAsia" w:asciiTheme="minorEastAsia" w:hAnsiTheme="minorEastAsia" w:eastAsiaTheme="minorEastAsia" w:cstheme="minorEastAsia"/>
                <w:i w:val="0"/>
                <w:iCs w:val="0"/>
                <w:color w:val="auto"/>
                <w:kern w:val="0"/>
                <w:sz w:val="22"/>
                <w:szCs w:val="22"/>
                <w:u w:val="none"/>
                <w:lang w:val="en-US" w:eastAsia="zh-CN" w:bidi="ar"/>
              </w:rPr>
              <w:t>海水淡化和环境保护专用设备制造</w:t>
            </w:r>
          </w:p>
        </w:tc>
        <w:tc>
          <w:tcPr>
            <w:tcW w:w="38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sz w:val="20"/>
                <w:szCs w:val="20"/>
                <w:u w:val="none"/>
              </w:rPr>
            </w:pPr>
            <w:r>
              <w:rPr>
                <w:rStyle w:val="6"/>
                <w:rFonts w:hint="eastAsia" w:asciiTheme="minorEastAsia" w:hAnsiTheme="minorEastAsia" w:eastAsiaTheme="minorEastAsia" w:cstheme="minorEastAsia"/>
                <w:lang w:val="en-US" w:eastAsia="zh-CN" w:bidi="ar"/>
              </w:rPr>
              <w:t>35</w:t>
            </w:r>
            <w:r>
              <w:rPr>
                <w:rStyle w:val="7"/>
                <w:rFonts w:hint="eastAsia" w:asciiTheme="minorEastAsia" w:hAnsiTheme="minorEastAsia" w:eastAsiaTheme="minorEastAsia" w:cstheme="minorEastAsia"/>
                <w:lang w:val="en-US" w:eastAsia="zh-CN" w:bidi="ar"/>
              </w:rPr>
              <w:t>、</w:t>
            </w:r>
            <w:r>
              <w:rPr>
                <w:rStyle w:val="6"/>
                <w:rFonts w:hint="eastAsia" w:asciiTheme="minorEastAsia" w:hAnsiTheme="minorEastAsia" w:eastAsiaTheme="minorEastAsia" w:cstheme="minorEastAsia"/>
                <w:lang w:val="en-US" w:eastAsia="zh-CN" w:bidi="ar"/>
              </w:rPr>
              <w:t>37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57FD1C2D"/>
    <w:rsid w:val="6F12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100" w:beforeAutospacing="1" w:after="100" w:afterAutospacing="1"/>
      <w:jc w:val="left"/>
    </w:pPr>
    <w:rPr>
      <w:kern w:val="0"/>
      <w:sz w:val="24"/>
    </w:rPr>
  </w:style>
  <w:style w:type="character" w:customStyle="1" w:styleId="6">
    <w:name w:val="font61"/>
    <w:basedOn w:val="5"/>
    <w:qFormat/>
    <w:uiPriority w:val="0"/>
    <w:rPr>
      <w:rFonts w:hint="eastAsia" w:ascii="宋体" w:hAnsi="宋体" w:eastAsia="宋体" w:cs="宋体"/>
      <w:color w:val="auto"/>
      <w:sz w:val="20"/>
      <w:szCs w:val="20"/>
      <w:u w:val="none"/>
    </w:rPr>
  </w:style>
  <w:style w:type="character" w:customStyle="1" w:styleId="7">
    <w:name w:val="font51"/>
    <w:basedOn w:val="5"/>
    <w:qFormat/>
    <w:uiPriority w:val="0"/>
    <w:rPr>
      <w:rFonts w:hint="eastAsia" w:ascii="宋体" w:hAnsi="宋体" w:eastAsia="宋体" w:cs="宋体"/>
      <w:color w:val="auto"/>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2024-01-17T02:31:00Z</dcterms:created>
  <dc:creator>Administrator</dc:creator>
  <cp:lastModifiedBy>Administrator</cp:lastModifiedBy>
  <dcterms:modified xsi:type="dcterms:W3CDTF">2024-05-24T02:18:47Z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8BB73C6C75F54D4781F55E8049810831_12</vt:lpwstr>
  </property>
</Properties>
</file>